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252" w:type="dxa"/>
        <w:tblLook w:val="01E0" w:firstRow="1" w:lastRow="1" w:firstColumn="1" w:lastColumn="1" w:noHBand="0" w:noVBand="0"/>
      </w:tblPr>
      <w:tblGrid>
        <w:gridCol w:w="4126"/>
        <w:gridCol w:w="4334"/>
        <w:gridCol w:w="1980"/>
      </w:tblGrid>
      <w:tr w:rsidR="001A4EEF" w14:paraId="702BBA5B" w14:textId="77777777" w:rsidTr="00AF3B17">
        <w:trPr>
          <w:cantSplit/>
        </w:trPr>
        <w:tc>
          <w:tcPr>
            <w:tcW w:w="4126" w:type="dxa"/>
          </w:tcPr>
          <w:p w14:paraId="6F24BAC8" w14:textId="77777777" w:rsidR="001A4EEF" w:rsidRDefault="001A4EEF" w:rsidP="00C1412D">
            <w:pPr>
              <w:ind w:left="-108"/>
              <w:rPr>
                <w:rFonts w:cs="Arial"/>
                <w:sz w:val="18"/>
                <w:szCs w:val="18"/>
              </w:rPr>
            </w:pPr>
          </w:p>
        </w:tc>
        <w:tc>
          <w:tcPr>
            <w:tcW w:w="4334" w:type="dxa"/>
          </w:tcPr>
          <w:p w14:paraId="6F1E7DF8" w14:textId="77777777" w:rsidR="001A4EEF" w:rsidRDefault="001A4EEF" w:rsidP="008813D7">
            <w:pPr>
              <w:rPr>
                <w:rFonts w:cs="Arial"/>
                <w:sz w:val="18"/>
                <w:szCs w:val="18"/>
              </w:rPr>
            </w:pPr>
          </w:p>
        </w:tc>
        <w:tc>
          <w:tcPr>
            <w:tcW w:w="1980" w:type="dxa"/>
            <w:vMerge w:val="restart"/>
            <w:vAlign w:val="center"/>
          </w:tcPr>
          <w:p w14:paraId="7FD381E9" w14:textId="77777777" w:rsidR="001A4EEF" w:rsidRDefault="00312879" w:rsidP="008813D7">
            <w:pPr>
              <w:jc w:val="right"/>
              <w:rPr>
                <w:rFonts w:cs="Arial"/>
                <w:sz w:val="18"/>
                <w:szCs w:val="18"/>
              </w:rPr>
            </w:pPr>
            <w:r>
              <w:rPr>
                <w:rFonts w:cs="Arial"/>
                <w:noProof/>
                <w:sz w:val="18"/>
                <w:szCs w:val="18"/>
              </w:rPr>
              <w:drawing>
                <wp:inline distT="0" distB="0" distL="0" distR="0" wp14:anchorId="7A8D674D" wp14:editId="1DC0DCAD">
                  <wp:extent cx="1038225" cy="5810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p>
        </w:tc>
      </w:tr>
      <w:tr w:rsidR="001A4EEF" w14:paraId="6D2B714F" w14:textId="77777777" w:rsidTr="00AF3B17">
        <w:trPr>
          <w:cantSplit/>
        </w:trPr>
        <w:tc>
          <w:tcPr>
            <w:tcW w:w="8460" w:type="dxa"/>
            <w:gridSpan w:val="2"/>
          </w:tcPr>
          <w:p w14:paraId="589938DB" w14:textId="77777777" w:rsidR="001A4EEF" w:rsidRDefault="001976C4" w:rsidP="008813D7">
            <w:pPr>
              <w:jc w:val="right"/>
              <w:rPr>
                <w:rFonts w:cs="Arial"/>
                <w:b/>
                <w:bCs/>
                <w:sz w:val="28"/>
                <w:szCs w:val="18"/>
              </w:rPr>
            </w:pPr>
            <w:bookmarkStart w:id="0" w:name="titel"/>
            <w:bookmarkEnd w:id="0"/>
            <w:r>
              <w:rPr>
                <w:rFonts w:cs="Arial"/>
                <w:b/>
                <w:bCs/>
                <w:sz w:val="28"/>
                <w:szCs w:val="18"/>
              </w:rPr>
              <w:t>Staatsanwaltschaft</w:t>
            </w:r>
          </w:p>
          <w:p w14:paraId="092716E2" w14:textId="77777777" w:rsidR="001A4EEF" w:rsidRDefault="001A4EEF" w:rsidP="008813D7">
            <w:pPr>
              <w:jc w:val="right"/>
              <w:rPr>
                <w:rFonts w:cs="Arial"/>
                <w:b/>
                <w:bCs/>
                <w:sz w:val="28"/>
                <w:szCs w:val="18"/>
              </w:rPr>
            </w:pPr>
            <w:r>
              <w:rPr>
                <w:rFonts w:cs="Arial"/>
                <w:b/>
                <w:bCs/>
                <w:sz w:val="28"/>
                <w:szCs w:val="18"/>
              </w:rPr>
              <w:t>Memmingen</w:t>
            </w:r>
          </w:p>
          <w:p w14:paraId="3BA5901A" w14:textId="77777777" w:rsidR="001A4EEF" w:rsidRDefault="001A4EEF" w:rsidP="008813D7">
            <w:pPr>
              <w:jc w:val="right"/>
              <w:rPr>
                <w:rFonts w:cs="Arial"/>
                <w:b/>
                <w:bCs/>
                <w:sz w:val="28"/>
                <w:szCs w:val="18"/>
              </w:rPr>
            </w:pPr>
          </w:p>
        </w:tc>
        <w:tc>
          <w:tcPr>
            <w:tcW w:w="1980" w:type="dxa"/>
            <w:vMerge/>
          </w:tcPr>
          <w:p w14:paraId="59961188" w14:textId="77777777" w:rsidR="001A4EEF" w:rsidRDefault="001A4EEF" w:rsidP="008813D7">
            <w:pPr>
              <w:rPr>
                <w:rFonts w:cs="Arial"/>
                <w:sz w:val="18"/>
                <w:szCs w:val="18"/>
              </w:rPr>
            </w:pPr>
          </w:p>
        </w:tc>
      </w:tr>
    </w:tbl>
    <w:p w14:paraId="36A6DAE9" w14:textId="37115941" w:rsidR="00560A3D" w:rsidRPr="00146DC1" w:rsidRDefault="00B55CE0" w:rsidP="00560A3D">
      <w:pPr>
        <w:spacing w:after="160" w:line="259" w:lineRule="auto"/>
        <w:rPr>
          <w:rFonts w:eastAsia="Arial"/>
          <w:b/>
          <w:sz w:val="22"/>
          <w:szCs w:val="22"/>
          <w:lang w:eastAsia="en-US"/>
        </w:rPr>
      </w:pPr>
      <w:r>
        <w:rPr>
          <w:rFonts w:eastAsia="Arial"/>
          <w:b/>
          <w:sz w:val="22"/>
          <w:szCs w:val="22"/>
          <w:lang w:eastAsia="en-US"/>
        </w:rPr>
        <w:tab/>
      </w:r>
      <w:r>
        <w:rPr>
          <w:rFonts w:eastAsia="Arial"/>
          <w:b/>
          <w:sz w:val="22"/>
          <w:szCs w:val="22"/>
          <w:lang w:eastAsia="en-US"/>
        </w:rPr>
        <w:tab/>
      </w:r>
      <w:r>
        <w:rPr>
          <w:rFonts w:eastAsia="Arial"/>
          <w:b/>
          <w:sz w:val="22"/>
          <w:szCs w:val="22"/>
          <w:lang w:eastAsia="en-US"/>
        </w:rPr>
        <w:tab/>
      </w:r>
      <w:r>
        <w:rPr>
          <w:rFonts w:eastAsia="Arial"/>
          <w:b/>
          <w:sz w:val="22"/>
          <w:szCs w:val="22"/>
          <w:lang w:eastAsia="en-US"/>
        </w:rPr>
        <w:tab/>
      </w:r>
      <w:r>
        <w:rPr>
          <w:rFonts w:eastAsia="Arial"/>
          <w:b/>
          <w:sz w:val="22"/>
          <w:szCs w:val="22"/>
          <w:lang w:eastAsia="en-US"/>
        </w:rPr>
        <w:tab/>
      </w:r>
      <w:r>
        <w:rPr>
          <w:rFonts w:eastAsia="Arial"/>
          <w:b/>
          <w:sz w:val="22"/>
          <w:szCs w:val="22"/>
          <w:lang w:eastAsia="en-US"/>
        </w:rPr>
        <w:tab/>
      </w:r>
      <w:r>
        <w:rPr>
          <w:rFonts w:eastAsia="Arial"/>
          <w:b/>
          <w:sz w:val="22"/>
          <w:szCs w:val="22"/>
          <w:lang w:eastAsia="en-US"/>
        </w:rPr>
        <w:tab/>
      </w:r>
      <w:r>
        <w:rPr>
          <w:rFonts w:eastAsia="Arial"/>
          <w:b/>
          <w:sz w:val="22"/>
          <w:szCs w:val="22"/>
          <w:lang w:eastAsia="en-US"/>
        </w:rPr>
        <w:tab/>
      </w:r>
      <w:r>
        <w:rPr>
          <w:rFonts w:eastAsia="Arial"/>
          <w:b/>
          <w:sz w:val="22"/>
          <w:szCs w:val="22"/>
          <w:lang w:eastAsia="en-US"/>
        </w:rPr>
        <w:tab/>
        <w:t xml:space="preserve">         </w:t>
      </w:r>
      <w:r w:rsidR="00955843">
        <w:rPr>
          <w:rFonts w:eastAsia="Arial"/>
          <w:b/>
          <w:sz w:val="22"/>
          <w:szCs w:val="22"/>
          <w:lang w:eastAsia="en-US"/>
        </w:rPr>
        <w:t>1</w:t>
      </w:r>
      <w:r w:rsidR="00646855">
        <w:rPr>
          <w:rFonts w:eastAsia="Arial"/>
          <w:b/>
          <w:sz w:val="22"/>
          <w:szCs w:val="22"/>
          <w:lang w:eastAsia="en-US"/>
        </w:rPr>
        <w:t>9</w:t>
      </w:r>
      <w:r w:rsidR="00955843">
        <w:rPr>
          <w:rFonts w:eastAsia="Arial"/>
          <w:b/>
          <w:sz w:val="22"/>
          <w:szCs w:val="22"/>
          <w:lang w:eastAsia="en-US"/>
        </w:rPr>
        <w:t>.</w:t>
      </w:r>
      <w:r w:rsidR="00942738">
        <w:rPr>
          <w:rFonts w:eastAsia="Arial"/>
          <w:b/>
          <w:sz w:val="22"/>
          <w:szCs w:val="22"/>
          <w:lang w:eastAsia="en-US"/>
        </w:rPr>
        <w:t>0</w:t>
      </w:r>
      <w:r w:rsidR="00955843">
        <w:rPr>
          <w:rFonts w:eastAsia="Arial"/>
          <w:b/>
          <w:sz w:val="22"/>
          <w:szCs w:val="22"/>
          <w:lang w:eastAsia="en-US"/>
        </w:rPr>
        <w:t>2.202</w:t>
      </w:r>
      <w:r w:rsidR="00942738">
        <w:rPr>
          <w:rFonts w:eastAsia="Arial"/>
          <w:b/>
          <w:sz w:val="22"/>
          <w:szCs w:val="22"/>
          <w:lang w:eastAsia="en-US"/>
        </w:rPr>
        <w:t>6</w:t>
      </w:r>
    </w:p>
    <w:p w14:paraId="3A28F62F" w14:textId="77777777" w:rsidR="00560A3D" w:rsidRDefault="00560A3D" w:rsidP="00560A3D">
      <w:pPr>
        <w:spacing w:after="160" w:line="259" w:lineRule="auto"/>
        <w:jc w:val="both"/>
        <w:rPr>
          <w:rFonts w:eastAsia="Arial"/>
          <w:i/>
          <w:sz w:val="22"/>
          <w:szCs w:val="22"/>
          <w:lang w:eastAsia="en-US"/>
        </w:rPr>
      </w:pPr>
    </w:p>
    <w:p w14:paraId="5079453C" w14:textId="39D7F432" w:rsidR="00C71848" w:rsidRPr="00183D52" w:rsidRDefault="00C71848" w:rsidP="00A10CBC">
      <w:pPr>
        <w:ind w:left="-567" w:right="-1417"/>
        <w:jc w:val="both"/>
        <w:rPr>
          <w:rFonts w:cs="Arial"/>
          <w:b/>
          <w:i/>
          <w:iCs/>
          <w:sz w:val="22"/>
          <w:szCs w:val="22"/>
        </w:rPr>
      </w:pPr>
      <w:r w:rsidRPr="00C71848">
        <w:rPr>
          <w:rFonts w:cs="Arial"/>
          <w:b/>
          <w:sz w:val="22"/>
          <w:szCs w:val="22"/>
        </w:rPr>
        <w:t>Pressemitteilung</w:t>
      </w:r>
    </w:p>
    <w:p w14:paraId="5761F8AB" w14:textId="77777777" w:rsidR="00C71848" w:rsidRPr="00C71848" w:rsidRDefault="00C71848" w:rsidP="00A10CBC">
      <w:pPr>
        <w:ind w:left="-567" w:right="-1417"/>
        <w:jc w:val="both"/>
        <w:rPr>
          <w:rFonts w:cs="Arial"/>
          <w:sz w:val="22"/>
          <w:szCs w:val="22"/>
        </w:rPr>
      </w:pPr>
    </w:p>
    <w:p w14:paraId="75B66552" w14:textId="77777777" w:rsidR="00955843" w:rsidRPr="00AE790A" w:rsidRDefault="00955843" w:rsidP="00955843">
      <w:r w:rsidRPr="00AE790A">
        <w:t xml:space="preserve">  </w:t>
      </w:r>
    </w:p>
    <w:p w14:paraId="21648394" w14:textId="77777777" w:rsidR="00942738" w:rsidRPr="00942738" w:rsidRDefault="00942738" w:rsidP="00942738">
      <w:pPr>
        <w:jc w:val="center"/>
        <w:rPr>
          <w:b/>
          <w:bCs/>
          <w:sz w:val="32"/>
          <w:szCs w:val="32"/>
        </w:rPr>
      </w:pPr>
      <w:r w:rsidRPr="00942738">
        <w:rPr>
          <w:b/>
          <w:bCs/>
          <w:sz w:val="32"/>
          <w:szCs w:val="32"/>
        </w:rPr>
        <w:t>Generalstaatsanwalt in München Andreas Wimmer zum Antrittsbesuch bei der Staatsanwaltschaft Memmingen</w:t>
      </w:r>
    </w:p>
    <w:p w14:paraId="1299CF28" w14:textId="77777777" w:rsidR="00955843" w:rsidRDefault="00955843" w:rsidP="00955843">
      <w:pPr>
        <w:rPr>
          <w:b/>
          <w:bCs/>
        </w:rPr>
      </w:pPr>
    </w:p>
    <w:p w14:paraId="04ED2EA2" w14:textId="77777777" w:rsidR="00955843" w:rsidRDefault="00955843" w:rsidP="00955843">
      <w:pPr>
        <w:rPr>
          <w:b/>
          <w:bCs/>
        </w:rPr>
      </w:pPr>
    </w:p>
    <w:p w14:paraId="0B971EC4" w14:textId="2EBBE580" w:rsidR="00942738" w:rsidRPr="00850BF9" w:rsidRDefault="00955843" w:rsidP="00942738">
      <w:pPr>
        <w:jc w:val="both"/>
      </w:pPr>
      <w:r>
        <w:rPr>
          <w:b/>
          <w:bCs/>
        </w:rPr>
        <w:t xml:space="preserve">Memmingen: </w:t>
      </w:r>
      <w:r w:rsidR="00942738" w:rsidRPr="00850BF9">
        <w:t xml:space="preserve">Der Münchner Generalstaatsanwalt Andreas Wimmer besuchte am 18. Februar 2026 die Staatsanwaltschaft Memmingen. Nach seiner Ernennung zum Generalstaatsanwalt in München ist er der </w:t>
      </w:r>
      <w:r w:rsidR="00942738" w:rsidRPr="00850BF9">
        <w:rPr>
          <w:rFonts w:cs="Arial"/>
        </w:rPr>
        <w:t>Dienstvorgesetzte der zehn südbayerischen Staatsanwaltschaften.</w:t>
      </w:r>
      <w:r w:rsidR="00942738" w:rsidRPr="00850BF9">
        <w:t xml:space="preserve"> In Memmingen lernte er die Behörde und ihre Mitarbeiter kennen. </w:t>
      </w:r>
    </w:p>
    <w:p w14:paraId="78B5F09B" w14:textId="77777777" w:rsidR="00942738" w:rsidRDefault="00942738" w:rsidP="00942738">
      <w:pPr>
        <w:jc w:val="both"/>
        <w:rPr>
          <w:rFonts w:cs="Arial"/>
        </w:rPr>
      </w:pPr>
    </w:p>
    <w:p w14:paraId="3F84020C" w14:textId="7960269B" w:rsidR="00942738" w:rsidRPr="00850BF9" w:rsidRDefault="00942738" w:rsidP="00942738">
      <w:pPr>
        <w:jc w:val="both"/>
      </w:pPr>
      <w:r w:rsidRPr="00850BF9">
        <w:rPr>
          <w:rFonts w:cs="Arial"/>
        </w:rPr>
        <w:t xml:space="preserve">Der Behördenleiter der Staatsanwaltschaft Memmingen, Leitender Oberstaatsanwalt Thomas Olbermann, berichtete dem Generalstaatsanwalt, dass die Staatsanwaltschaft Memmingen trotz hoher Arbeitsleistung gut aufgestellt sei und durch </w:t>
      </w:r>
      <w:r w:rsidRPr="00850BF9">
        <w:t xml:space="preserve">Umstrukturierung und Zuweisung zusätzlicher Stellen </w:t>
      </w:r>
      <w:r>
        <w:t>umsetzen konnte</w:t>
      </w:r>
      <w:r w:rsidRPr="00850BF9">
        <w:t xml:space="preserve">, dass die Abteilung 3 der Staatsanwaltschaft Memmingen in Neu-Ulm die gesetzlich vorgeschriebene Größe für eine nunmehr selbständige Zweigstelle erreichte. </w:t>
      </w:r>
    </w:p>
    <w:p w14:paraId="0008FFB0" w14:textId="77777777" w:rsidR="00942738" w:rsidRDefault="00942738" w:rsidP="00942738">
      <w:pPr>
        <w:jc w:val="both"/>
        <w:rPr>
          <w:rFonts w:cs="Arial"/>
        </w:rPr>
      </w:pPr>
    </w:p>
    <w:p w14:paraId="464F4CB8" w14:textId="76DC6483" w:rsidR="00942738" w:rsidRPr="0038221A" w:rsidRDefault="00942738" w:rsidP="00942738">
      <w:pPr>
        <w:jc w:val="both"/>
        <w:rPr>
          <w:rFonts w:cs="Arial"/>
        </w:rPr>
      </w:pPr>
      <w:r w:rsidRPr="0038221A">
        <w:rPr>
          <w:rFonts w:cs="Arial"/>
        </w:rPr>
        <w:t>Generalstaatsanwalt Wimmer</w:t>
      </w:r>
      <w:r w:rsidRPr="0038221A">
        <w:t xml:space="preserve"> </w:t>
      </w:r>
      <w:r w:rsidRPr="0038221A">
        <w:rPr>
          <w:rFonts w:cs="Arial"/>
        </w:rPr>
        <w:t>zeigte sich beeindruckt von den Leistungen, bedankte sich bei sämtlichen Mitarbeitern der Staatsanwaltschaft Memmingen für ihren überobligatorischen Einsatz</w:t>
      </w:r>
      <w:r>
        <w:rPr>
          <w:rFonts w:cs="Arial"/>
        </w:rPr>
        <w:t xml:space="preserve"> und</w:t>
      </w:r>
      <w:r w:rsidRPr="0038221A">
        <w:rPr>
          <w:rFonts w:cs="Arial"/>
        </w:rPr>
        <w:t xml:space="preserve"> </w:t>
      </w:r>
      <w:r w:rsidRPr="0038221A">
        <w:t xml:space="preserve">freut sich auf eine gute </w:t>
      </w:r>
      <w:r>
        <w:t xml:space="preserve">Zusammenarbeit. </w:t>
      </w:r>
    </w:p>
    <w:p w14:paraId="301AE1B4" w14:textId="77777777" w:rsidR="00942738" w:rsidRDefault="00942738" w:rsidP="00942738">
      <w:pPr>
        <w:jc w:val="both"/>
      </w:pPr>
    </w:p>
    <w:p w14:paraId="6B3EF7D2" w14:textId="7445AD6B" w:rsidR="00942738" w:rsidRDefault="00942738" w:rsidP="00942738">
      <w:pPr>
        <w:jc w:val="both"/>
      </w:pPr>
      <w:r w:rsidRPr="00032126">
        <w:t xml:space="preserve">Andreas Wimmer begann seine </w:t>
      </w:r>
      <w:r>
        <w:t>K</w:t>
      </w:r>
      <w:r w:rsidRPr="00032126">
        <w:t>arriere</w:t>
      </w:r>
      <w:r>
        <w:t xml:space="preserve"> in der Bayerischen Justiz</w:t>
      </w:r>
      <w:r w:rsidRPr="00032126">
        <w:t xml:space="preserve"> 1989 bei der Staatsanwaltschaft München I. Nach Stationen im Bayerischen Staatsministerium der Justiz und als Richter am Landgericht München I war er von 1993 bis 1996 an das Bayerische Staatsministerium für Bundes- und Europaangelegenheiten mit Dienstsitz in Bonn (Bayerische Vertretung) abgeordnet. Im Anschluss war Andreas Wimmer im Bayerischen Staatsministerium der Justiz im Leitungsbereich sowie als Referatsleiter in der Haushaltsabteilung tätig. 2005 folgte eine Versetzung an das Oberlandesgericht München mit teilweiser Abordnung an das Bayerische Oberste Landesgericht. Ab 2006 war Andreas Wimmer für weitere fünf Jahre am Bayerischen Staatsministerium der Justiz als Referatsleiter in der Strafrechtsabteilung tätig, bevor er 2011 als Leitender Oberstaatsanwalt zur Generalstaatsanwaltschaft München wechselte. Seit 2013 war er dort als ständiger Vertreter des Generalstaatsanwalts tätig. 2018 wurde er zum Präsidenten des Landgerichts Landshut ernannt, 2020 zum Präsidenten des Landgerichts Augsburg. Im August 2022 wurde Andreas Wimmer zum </w:t>
      </w:r>
      <w:r w:rsidRPr="00032126">
        <w:lastRenderedPageBreak/>
        <w:t>Generalstaatsanwalt in Nürnberg ernannt. Zum 1. Februar 2026 w</w:t>
      </w:r>
      <w:r>
        <w:t>u</w:t>
      </w:r>
      <w:r w:rsidRPr="00032126">
        <w:t>rd</w:t>
      </w:r>
      <w:r>
        <w:t>e</w:t>
      </w:r>
      <w:r w:rsidRPr="00032126">
        <w:t xml:space="preserve"> Andreas Wimmer neuer Generalstaatsanwalt in München.</w:t>
      </w:r>
    </w:p>
    <w:p w14:paraId="65450F09" w14:textId="77777777" w:rsidR="00955843" w:rsidRDefault="00955843" w:rsidP="00646855">
      <w:pPr>
        <w:jc w:val="both"/>
        <w:rPr>
          <w:rFonts w:cs="Arial"/>
        </w:rPr>
      </w:pPr>
    </w:p>
    <w:p w14:paraId="3CB53F39" w14:textId="77777777" w:rsidR="00955843" w:rsidRPr="00A10CBC" w:rsidRDefault="00955843" w:rsidP="00A10CBC">
      <w:pPr>
        <w:ind w:left="-567"/>
        <w:jc w:val="both"/>
        <w:rPr>
          <w:rFonts w:cs="Arial"/>
        </w:rPr>
      </w:pPr>
    </w:p>
    <w:p w14:paraId="3A88F95D" w14:textId="17E1C61D" w:rsidR="00A10CBC" w:rsidRDefault="00955843" w:rsidP="00955843">
      <w:pPr>
        <w:ind w:left="-567"/>
        <w:rPr>
          <w:rFonts w:ascii="Source Sans Pro" w:hAnsi="Source Sans Pro"/>
        </w:rPr>
      </w:pPr>
      <w:r>
        <w:rPr>
          <w:rFonts w:ascii="Source Sans Pro" w:hAnsi="Source Sans Pro"/>
        </w:rPr>
        <w:tab/>
      </w:r>
      <w:r w:rsidR="00646855">
        <w:rPr>
          <w:noProof/>
        </w:rPr>
        <w:drawing>
          <wp:inline distT="0" distB="0" distL="0" distR="0" wp14:anchorId="2AA19A19" wp14:editId="4B79F896">
            <wp:extent cx="4259580" cy="3924300"/>
            <wp:effectExtent l="0" t="0" r="7620" b="0"/>
            <wp:docPr id="1359147661" name="Grafik 1" descr="Ein Bild, das Kleidung, Person, Blazer, Formelle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47661" name="Grafik 1" descr="Ein Bild, das Kleidung, Person, Blazer, Formelle Kleidung enthält.&#10;&#10;KI-generierte Inhalte können fehlerhaft sei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259580" cy="3924300"/>
                    </a:xfrm>
                    <a:prstGeom prst="rect">
                      <a:avLst/>
                    </a:prstGeom>
                    <a:noFill/>
                    <a:ln>
                      <a:noFill/>
                    </a:ln>
                  </pic:spPr>
                </pic:pic>
              </a:graphicData>
            </a:graphic>
          </wp:inline>
        </w:drawing>
      </w:r>
    </w:p>
    <w:p w14:paraId="0C5A3E3C" w14:textId="77777777" w:rsidR="00955843" w:rsidRDefault="00955843" w:rsidP="00955843">
      <w:pPr>
        <w:ind w:left="-567"/>
        <w:rPr>
          <w:rFonts w:ascii="Source Sans Pro" w:hAnsi="Source Sans Pro"/>
        </w:rPr>
      </w:pPr>
    </w:p>
    <w:p w14:paraId="0A104608" w14:textId="4F5571FE" w:rsidR="00955843" w:rsidRPr="00955843" w:rsidRDefault="00955843" w:rsidP="005D07A2">
      <w:pPr>
        <w:jc w:val="both"/>
      </w:pPr>
      <w:r w:rsidRPr="00955843">
        <w:rPr>
          <w:rFonts w:cs="Arial"/>
        </w:rPr>
        <w:t xml:space="preserve">Herr Generalstaatsanwalt </w:t>
      </w:r>
      <w:r w:rsidR="00646855">
        <w:rPr>
          <w:rFonts w:cs="Arial"/>
        </w:rPr>
        <w:t>Andreas Wimmer</w:t>
      </w:r>
      <w:r w:rsidRPr="00955843">
        <w:rPr>
          <w:rFonts w:cs="Arial"/>
        </w:rPr>
        <w:t xml:space="preserve"> (</w:t>
      </w:r>
      <w:r>
        <w:rPr>
          <w:rFonts w:cs="Arial"/>
        </w:rPr>
        <w:t>rechts</w:t>
      </w:r>
      <w:r w:rsidRPr="00955843">
        <w:rPr>
          <w:rFonts w:cs="Arial"/>
        </w:rPr>
        <w:t>)</w:t>
      </w:r>
      <w:r>
        <w:rPr>
          <w:rFonts w:cs="Arial"/>
        </w:rPr>
        <w:t xml:space="preserve"> und </w:t>
      </w:r>
      <w:r w:rsidR="00646855">
        <w:rPr>
          <w:rFonts w:cs="Arial"/>
        </w:rPr>
        <w:t xml:space="preserve">Leitender </w:t>
      </w:r>
      <w:r w:rsidRPr="00955843">
        <w:t xml:space="preserve">Oberstaatsanwalt </w:t>
      </w:r>
      <w:r w:rsidR="00646855">
        <w:t>Thomas Olbermann</w:t>
      </w:r>
      <w:r>
        <w:t xml:space="preserve">, </w:t>
      </w:r>
      <w:r w:rsidRPr="00955843">
        <w:t xml:space="preserve">Leiter </w:t>
      </w:r>
      <w:r>
        <w:t>der Staatsanwaltschaft Memmingen (links)</w:t>
      </w:r>
    </w:p>
    <w:p w14:paraId="6A6F78ED" w14:textId="2D5B4B8B" w:rsidR="00955843" w:rsidRPr="00955843" w:rsidRDefault="00955843" w:rsidP="00955843">
      <w:pPr>
        <w:rPr>
          <w:rFonts w:cs="Arial"/>
        </w:rPr>
      </w:pPr>
    </w:p>
    <w:p w14:paraId="2F547174" w14:textId="77777777" w:rsidR="00955843" w:rsidRDefault="00955843" w:rsidP="00955843">
      <w:pPr>
        <w:rPr>
          <w:rFonts w:ascii="Source Sans Pro" w:hAnsi="Source Sans Pro"/>
        </w:rPr>
      </w:pPr>
    </w:p>
    <w:p w14:paraId="4056661E" w14:textId="77777777" w:rsidR="00955843" w:rsidRDefault="00955843" w:rsidP="00955843">
      <w:pPr>
        <w:rPr>
          <w:rFonts w:ascii="Source Sans Pro" w:hAnsi="Source Sans Pro"/>
        </w:rPr>
      </w:pPr>
    </w:p>
    <w:p w14:paraId="4AFF2752" w14:textId="6BFD2B35" w:rsidR="00A10CBC" w:rsidRPr="00A10CBC" w:rsidRDefault="00A10CBC" w:rsidP="00955843">
      <w:pPr>
        <w:rPr>
          <w:rFonts w:cs="Arial"/>
        </w:rPr>
      </w:pPr>
      <w:r w:rsidRPr="00A10CBC">
        <w:rPr>
          <w:rFonts w:cs="Arial"/>
        </w:rPr>
        <w:t>gez.</w:t>
      </w:r>
    </w:p>
    <w:p w14:paraId="1985DCEF" w14:textId="77777777" w:rsidR="00955843" w:rsidRDefault="00955843" w:rsidP="00955843">
      <w:pPr>
        <w:ind w:left="-567" w:firstLine="567"/>
        <w:rPr>
          <w:rFonts w:cs="Arial"/>
        </w:rPr>
      </w:pPr>
    </w:p>
    <w:p w14:paraId="0B3FD527" w14:textId="31DA29E4" w:rsidR="00A10CBC" w:rsidRPr="00A10CBC" w:rsidRDefault="00955843" w:rsidP="00955843">
      <w:pPr>
        <w:ind w:left="-567" w:firstLine="567"/>
        <w:rPr>
          <w:rFonts w:cs="Arial"/>
        </w:rPr>
      </w:pPr>
      <w:r>
        <w:rPr>
          <w:rFonts w:cs="Arial"/>
        </w:rPr>
        <w:t>Birle</w:t>
      </w:r>
      <w:r w:rsidR="00271409">
        <w:rPr>
          <w:rFonts w:cs="Arial"/>
        </w:rPr>
        <w:t xml:space="preserve"> </w:t>
      </w:r>
    </w:p>
    <w:p w14:paraId="0919BE72" w14:textId="77777777" w:rsidR="00955843" w:rsidRDefault="00955843" w:rsidP="00955843">
      <w:pPr>
        <w:ind w:left="-567" w:firstLine="567"/>
        <w:rPr>
          <w:rFonts w:cs="Arial"/>
        </w:rPr>
      </w:pPr>
      <w:r>
        <w:rPr>
          <w:rFonts w:cs="Arial"/>
        </w:rPr>
        <w:t>Staatsanwältin</w:t>
      </w:r>
    </w:p>
    <w:p w14:paraId="2AE0F437" w14:textId="48D97640" w:rsidR="00A10CBC" w:rsidRPr="00A10CBC" w:rsidRDefault="00A10CBC" w:rsidP="00955843">
      <w:pPr>
        <w:ind w:left="-567" w:firstLine="567"/>
        <w:rPr>
          <w:rFonts w:cs="Arial"/>
        </w:rPr>
      </w:pPr>
      <w:r w:rsidRPr="00A10CBC">
        <w:rPr>
          <w:rFonts w:cs="Arial"/>
        </w:rPr>
        <w:t>Pressesprecher</w:t>
      </w:r>
      <w:r w:rsidR="00955843">
        <w:rPr>
          <w:rFonts w:cs="Arial"/>
        </w:rPr>
        <w:t>in</w:t>
      </w:r>
    </w:p>
    <w:p w14:paraId="13059A8E" w14:textId="77777777" w:rsidR="00A10CBC" w:rsidRDefault="00A10CBC" w:rsidP="00A10CBC">
      <w:pPr>
        <w:ind w:left="-567"/>
        <w:rPr>
          <w:rFonts w:ascii="Source Sans Pro" w:hAnsi="Source Sans Pro"/>
        </w:rPr>
      </w:pPr>
    </w:p>
    <w:p w14:paraId="5906F261" w14:textId="77777777" w:rsidR="004B5B56" w:rsidRPr="00A10CBC" w:rsidRDefault="004B5B56" w:rsidP="00560A3D">
      <w:pPr>
        <w:tabs>
          <w:tab w:val="left" w:pos="3226"/>
        </w:tabs>
        <w:ind w:left="-142"/>
        <w:jc w:val="both"/>
        <w:rPr>
          <w:sz w:val="22"/>
          <w:szCs w:val="22"/>
        </w:rPr>
      </w:pPr>
    </w:p>
    <w:sectPr w:rsidR="004B5B56" w:rsidRPr="00A10CBC" w:rsidSect="00EB4C35">
      <w:headerReference w:type="default" r:id="rId11"/>
      <w:footerReference w:type="first" r:id="rId12"/>
      <w:pgSz w:w="11906" w:h="16838"/>
      <w:pgMar w:top="899" w:right="2366" w:bottom="1134" w:left="1418" w:header="709" w:footer="21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8542" w14:textId="77777777" w:rsidR="002A7113" w:rsidRDefault="002A7113">
      <w:r>
        <w:separator/>
      </w:r>
    </w:p>
  </w:endnote>
  <w:endnote w:type="continuationSeparator" w:id="0">
    <w:p w14:paraId="40E74B3E" w14:textId="77777777" w:rsidR="002A7113" w:rsidRDefault="002A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CellMar>
        <w:left w:w="142" w:type="dxa"/>
        <w:right w:w="142" w:type="dxa"/>
      </w:tblCellMar>
      <w:tblLook w:val="0000" w:firstRow="0" w:lastRow="0" w:firstColumn="0" w:lastColumn="0" w:noHBand="0" w:noVBand="0"/>
    </w:tblPr>
    <w:tblGrid>
      <w:gridCol w:w="1746"/>
      <w:gridCol w:w="2160"/>
      <w:gridCol w:w="2534"/>
      <w:gridCol w:w="2806"/>
    </w:tblGrid>
    <w:tr w:rsidR="0060687F" w14:paraId="7E135D1F" w14:textId="77777777" w:rsidTr="003068BD">
      <w:tc>
        <w:tcPr>
          <w:tcW w:w="1746" w:type="dxa"/>
        </w:tcPr>
        <w:p w14:paraId="57832B1B" w14:textId="77777777" w:rsidR="0060687F" w:rsidRDefault="0060687F" w:rsidP="003068BD">
          <w:pPr>
            <w:pStyle w:val="berschrift1"/>
            <w:spacing w:before="0"/>
            <w:rPr>
              <w:sz w:val="16"/>
              <w:szCs w:val="15"/>
            </w:rPr>
          </w:pPr>
          <w:r>
            <w:rPr>
              <w:sz w:val="16"/>
            </w:rPr>
            <w:t>Dienstgebäude</w:t>
          </w:r>
        </w:p>
        <w:p w14:paraId="5E199BCD" w14:textId="77777777" w:rsidR="0060687F" w:rsidRDefault="0060687F" w:rsidP="003068BD">
          <w:pPr>
            <w:tabs>
              <w:tab w:val="center" w:pos="4536"/>
              <w:tab w:val="right" w:pos="9072"/>
            </w:tabs>
            <w:rPr>
              <w:rFonts w:cs="Arial"/>
              <w:sz w:val="16"/>
              <w:szCs w:val="15"/>
            </w:rPr>
          </w:pPr>
          <w:bookmarkStart w:id="1" w:name="str"/>
          <w:bookmarkEnd w:id="1"/>
          <w:proofErr w:type="spellStart"/>
          <w:r>
            <w:rPr>
              <w:rFonts w:cs="Arial"/>
              <w:sz w:val="16"/>
              <w:szCs w:val="15"/>
            </w:rPr>
            <w:t>Hallhof</w:t>
          </w:r>
          <w:proofErr w:type="spellEnd"/>
          <w:r>
            <w:rPr>
              <w:rFonts w:cs="Arial"/>
              <w:sz w:val="16"/>
              <w:szCs w:val="15"/>
            </w:rPr>
            <w:t xml:space="preserve"> 1 + 4</w:t>
          </w:r>
        </w:p>
        <w:p w14:paraId="177ADE05" w14:textId="77777777" w:rsidR="0060687F" w:rsidRDefault="0060687F" w:rsidP="003068BD">
          <w:pPr>
            <w:tabs>
              <w:tab w:val="center" w:pos="4536"/>
              <w:tab w:val="right" w:pos="9072"/>
            </w:tabs>
            <w:rPr>
              <w:rFonts w:cs="Arial"/>
              <w:sz w:val="16"/>
              <w:szCs w:val="15"/>
            </w:rPr>
          </w:pPr>
          <w:bookmarkStart w:id="2" w:name="ort"/>
          <w:bookmarkEnd w:id="2"/>
          <w:r>
            <w:rPr>
              <w:rFonts w:cs="Arial"/>
              <w:sz w:val="16"/>
              <w:szCs w:val="15"/>
            </w:rPr>
            <w:t>87700 Memmingen</w:t>
          </w:r>
        </w:p>
      </w:tc>
      <w:tc>
        <w:tcPr>
          <w:tcW w:w="2160" w:type="dxa"/>
        </w:tcPr>
        <w:p w14:paraId="5FA4116C" w14:textId="77777777" w:rsidR="0060687F" w:rsidRDefault="0060687F" w:rsidP="003068BD">
          <w:pPr>
            <w:tabs>
              <w:tab w:val="center" w:pos="4536"/>
              <w:tab w:val="right" w:pos="9072"/>
            </w:tabs>
            <w:rPr>
              <w:rFonts w:cs="Arial"/>
              <w:b/>
              <w:bCs/>
              <w:sz w:val="16"/>
              <w:szCs w:val="15"/>
            </w:rPr>
          </w:pPr>
          <w:r>
            <w:rPr>
              <w:rFonts w:cs="Arial"/>
              <w:b/>
              <w:bCs/>
              <w:sz w:val="16"/>
              <w:szCs w:val="15"/>
            </w:rPr>
            <w:t>Besuchszeiten</w:t>
          </w:r>
        </w:p>
        <w:p w14:paraId="343D5180" w14:textId="77777777" w:rsidR="0060687F" w:rsidRDefault="0060687F" w:rsidP="003068BD">
          <w:pPr>
            <w:tabs>
              <w:tab w:val="center" w:pos="4536"/>
              <w:tab w:val="right" w:pos="9072"/>
            </w:tabs>
            <w:rPr>
              <w:rFonts w:cs="Arial"/>
              <w:sz w:val="16"/>
              <w:szCs w:val="15"/>
            </w:rPr>
          </w:pPr>
          <w:bookmarkStart w:id="3" w:name="b1"/>
          <w:bookmarkEnd w:id="3"/>
          <w:r>
            <w:rPr>
              <w:rFonts w:cs="Arial"/>
              <w:sz w:val="16"/>
              <w:szCs w:val="15"/>
            </w:rPr>
            <w:t xml:space="preserve">Mo - Fr: </w:t>
          </w:r>
          <w:r w:rsidR="000640E3">
            <w:rPr>
              <w:rFonts w:cs="Arial"/>
              <w:sz w:val="16"/>
              <w:szCs w:val="15"/>
            </w:rPr>
            <w:t xml:space="preserve"> </w:t>
          </w:r>
          <w:r>
            <w:rPr>
              <w:rFonts w:cs="Arial"/>
              <w:sz w:val="16"/>
              <w:szCs w:val="15"/>
            </w:rPr>
            <w:t>8.</w:t>
          </w:r>
          <w:r w:rsidR="00D2349E">
            <w:rPr>
              <w:rFonts w:cs="Arial"/>
              <w:sz w:val="16"/>
              <w:szCs w:val="15"/>
            </w:rPr>
            <w:t>00</w:t>
          </w:r>
          <w:r>
            <w:rPr>
              <w:rFonts w:cs="Arial"/>
              <w:sz w:val="16"/>
              <w:szCs w:val="15"/>
            </w:rPr>
            <w:t xml:space="preserve"> - </w:t>
          </w:r>
          <w:r w:rsidR="00D2349E">
            <w:rPr>
              <w:rFonts w:cs="Arial"/>
              <w:sz w:val="16"/>
              <w:szCs w:val="15"/>
            </w:rPr>
            <w:t>12.00 Uhr</w:t>
          </w:r>
        </w:p>
        <w:p w14:paraId="2F6C593E" w14:textId="77777777" w:rsidR="0060687F" w:rsidRDefault="00D2349E" w:rsidP="003068BD">
          <w:pPr>
            <w:tabs>
              <w:tab w:val="center" w:pos="4536"/>
              <w:tab w:val="right" w:pos="9072"/>
            </w:tabs>
            <w:rPr>
              <w:rFonts w:cs="Arial"/>
              <w:sz w:val="16"/>
              <w:szCs w:val="15"/>
            </w:rPr>
          </w:pPr>
          <w:bookmarkStart w:id="4" w:name="b2"/>
          <w:bookmarkEnd w:id="4"/>
          <w:r>
            <w:rPr>
              <w:rFonts w:cs="Arial"/>
              <w:sz w:val="16"/>
              <w:szCs w:val="15"/>
            </w:rPr>
            <w:t>Do</w:t>
          </w:r>
          <w:r w:rsidR="000640E3">
            <w:rPr>
              <w:rFonts w:cs="Arial"/>
              <w:sz w:val="16"/>
              <w:szCs w:val="15"/>
            </w:rPr>
            <w:t>:</w:t>
          </w:r>
          <w:r>
            <w:rPr>
              <w:rFonts w:cs="Arial"/>
              <w:sz w:val="16"/>
              <w:szCs w:val="15"/>
            </w:rPr>
            <w:t xml:space="preserve">      </w:t>
          </w:r>
          <w:r w:rsidR="000640E3">
            <w:rPr>
              <w:rFonts w:cs="Arial"/>
              <w:sz w:val="16"/>
              <w:szCs w:val="15"/>
            </w:rPr>
            <w:t xml:space="preserve"> </w:t>
          </w:r>
          <w:r>
            <w:rPr>
              <w:rFonts w:cs="Arial"/>
              <w:sz w:val="16"/>
              <w:szCs w:val="15"/>
            </w:rPr>
            <w:t>13.00 - 15.30 Uhr</w:t>
          </w:r>
        </w:p>
        <w:p w14:paraId="6AA86CC6" w14:textId="77777777" w:rsidR="0060687F" w:rsidRDefault="0060687F" w:rsidP="003068BD">
          <w:pPr>
            <w:tabs>
              <w:tab w:val="center" w:pos="4536"/>
              <w:tab w:val="right" w:pos="9072"/>
            </w:tabs>
            <w:rPr>
              <w:rFonts w:cs="Arial"/>
              <w:sz w:val="16"/>
              <w:szCs w:val="15"/>
            </w:rPr>
          </w:pPr>
          <w:bookmarkStart w:id="5" w:name="b3"/>
          <w:bookmarkEnd w:id="5"/>
        </w:p>
        <w:p w14:paraId="5A61CC2F" w14:textId="77777777" w:rsidR="0060687F" w:rsidRDefault="0060687F" w:rsidP="003068BD">
          <w:pPr>
            <w:tabs>
              <w:tab w:val="center" w:pos="4536"/>
              <w:tab w:val="right" w:pos="9072"/>
            </w:tabs>
            <w:rPr>
              <w:rFonts w:cs="Arial"/>
              <w:sz w:val="16"/>
              <w:szCs w:val="15"/>
            </w:rPr>
          </w:pPr>
          <w:bookmarkStart w:id="6" w:name="b4"/>
          <w:bookmarkEnd w:id="6"/>
        </w:p>
        <w:p w14:paraId="74E30242" w14:textId="77777777" w:rsidR="0060687F" w:rsidRDefault="0060687F" w:rsidP="003068BD">
          <w:pPr>
            <w:tabs>
              <w:tab w:val="center" w:pos="4536"/>
              <w:tab w:val="right" w:pos="9072"/>
            </w:tabs>
            <w:rPr>
              <w:rFonts w:cs="Arial"/>
              <w:sz w:val="16"/>
              <w:szCs w:val="15"/>
            </w:rPr>
          </w:pPr>
        </w:p>
      </w:tc>
      <w:tc>
        <w:tcPr>
          <w:tcW w:w="2534" w:type="dxa"/>
        </w:tcPr>
        <w:p w14:paraId="43DAA05A" w14:textId="77777777" w:rsidR="0060687F" w:rsidRDefault="0060687F" w:rsidP="003068BD">
          <w:pPr>
            <w:tabs>
              <w:tab w:val="center" w:pos="4536"/>
              <w:tab w:val="right" w:pos="9072"/>
            </w:tabs>
            <w:rPr>
              <w:rFonts w:cs="Arial"/>
              <w:b/>
              <w:bCs/>
              <w:sz w:val="16"/>
              <w:szCs w:val="15"/>
            </w:rPr>
          </w:pPr>
          <w:r>
            <w:rPr>
              <w:rFonts w:cs="Arial"/>
              <w:b/>
              <w:bCs/>
              <w:sz w:val="16"/>
              <w:szCs w:val="15"/>
            </w:rPr>
            <w:t>Telefon Vermittlung</w:t>
          </w:r>
        </w:p>
        <w:p w14:paraId="354678A2" w14:textId="77777777" w:rsidR="0060687F" w:rsidRDefault="0060687F" w:rsidP="003068BD">
          <w:pPr>
            <w:tabs>
              <w:tab w:val="center" w:pos="4536"/>
              <w:tab w:val="right" w:pos="9072"/>
            </w:tabs>
            <w:rPr>
              <w:rFonts w:cs="Arial"/>
              <w:sz w:val="16"/>
              <w:szCs w:val="15"/>
            </w:rPr>
          </w:pPr>
          <w:bookmarkStart w:id="7" w:name="verm"/>
          <w:bookmarkEnd w:id="7"/>
          <w:r>
            <w:rPr>
              <w:rFonts w:cs="Arial"/>
              <w:sz w:val="16"/>
              <w:szCs w:val="15"/>
            </w:rPr>
            <w:t>08331/105-0</w:t>
          </w:r>
        </w:p>
        <w:p w14:paraId="6B8EB3D1" w14:textId="77777777" w:rsidR="0060687F" w:rsidRDefault="0060687F" w:rsidP="003068BD">
          <w:pPr>
            <w:tabs>
              <w:tab w:val="center" w:pos="4536"/>
              <w:tab w:val="right" w:pos="9072"/>
            </w:tabs>
            <w:rPr>
              <w:rFonts w:cs="Arial"/>
              <w:b/>
              <w:bCs/>
              <w:sz w:val="16"/>
              <w:szCs w:val="15"/>
            </w:rPr>
          </w:pPr>
          <w:r>
            <w:rPr>
              <w:rFonts w:cs="Arial"/>
              <w:b/>
              <w:bCs/>
              <w:sz w:val="16"/>
              <w:szCs w:val="15"/>
            </w:rPr>
            <w:t>Telefax</w:t>
          </w:r>
        </w:p>
        <w:p w14:paraId="5C955861" w14:textId="77777777" w:rsidR="0060687F" w:rsidRDefault="0060687F" w:rsidP="003068BD">
          <w:pPr>
            <w:tabs>
              <w:tab w:val="center" w:pos="4536"/>
              <w:tab w:val="right" w:pos="9072"/>
            </w:tabs>
            <w:rPr>
              <w:rFonts w:cs="Arial"/>
              <w:sz w:val="16"/>
              <w:szCs w:val="15"/>
            </w:rPr>
          </w:pPr>
          <w:bookmarkStart w:id="8" w:name="fax"/>
          <w:bookmarkEnd w:id="8"/>
          <w:r>
            <w:rPr>
              <w:rFonts w:cs="Arial"/>
              <w:sz w:val="16"/>
              <w:szCs w:val="15"/>
            </w:rPr>
            <w:t>08331/105-322</w:t>
          </w:r>
        </w:p>
        <w:p w14:paraId="686C5A07" w14:textId="77777777" w:rsidR="0060687F" w:rsidRDefault="0060687F" w:rsidP="003068BD">
          <w:pPr>
            <w:tabs>
              <w:tab w:val="center" w:pos="4536"/>
              <w:tab w:val="right" w:pos="9072"/>
            </w:tabs>
            <w:rPr>
              <w:rFonts w:cs="Arial"/>
              <w:sz w:val="16"/>
              <w:szCs w:val="15"/>
            </w:rPr>
          </w:pPr>
          <w:bookmarkStart w:id="9" w:name="inet"/>
          <w:bookmarkEnd w:id="9"/>
        </w:p>
      </w:tc>
      <w:tc>
        <w:tcPr>
          <w:tcW w:w="2806" w:type="dxa"/>
        </w:tcPr>
        <w:p w14:paraId="1FC6A1C0" w14:textId="77777777" w:rsidR="00F13F05" w:rsidRDefault="00F13F05" w:rsidP="00F13F05">
          <w:pPr>
            <w:tabs>
              <w:tab w:val="center" w:pos="4536"/>
              <w:tab w:val="right" w:pos="9072"/>
            </w:tabs>
            <w:rPr>
              <w:rFonts w:cs="Arial"/>
              <w:b/>
              <w:bCs/>
              <w:sz w:val="16"/>
              <w:szCs w:val="15"/>
            </w:rPr>
          </w:pPr>
          <w:r>
            <w:rPr>
              <w:rFonts w:cs="Arial"/>
              <w:b/>
              <w:bCs/>
              <w:sz w:val="16"/>
              <w:szCs w:val="15"/>
            </w:rPr>
            <w:t>Konten</w:t>
          </w:r>
        </w:p>
        <w:p w14:paraId="2238091C" w14:textId="77777777" w:rsidR="00F13F05" w:rsidRDefault="00F13F05" w:rsidP="00F13F05">
          <w:pPr>
            <w:tabs>
              <w:tab w:val="center" w:pos="4536"/>
              <w:tab w:val="right" w:pos="9072"/>
            </w:tabs>
            <w:rPr>
              <w:rFonts w:cs="Arial"/>
              <w:sz w:val="16"/>
              <w:szCs w:val="16"/>
            </w:rPr>
          </w:pPr>
          <w:bookmarkStart w:id="10" w:name="bank"/>
          <w:bookmarkEnd w:id="10"/>
          <w:r>
            <w:rPr>
              <w:rFonts w:cs="Arial"/>
              <w:sz w:val="16"/>
              <w:szCs w:val="16"/>
            </w:rPr>
            <w:t>Landesjustizkasse Bamberg</w:t>
          </w:r>
        </w:p>
        <w:p w14:paraId="5AC24027" w14:textId="77777777" w:rsidR="00F13F05" w:rsidRDefault="00F13F05" w:rsidP="00F13F05">
          <w:pPr>
            <w:tabs>
              <w:tab w:val="center" w:pos="4536"/>
              <w:tab w:val="right" w:pos="9072"/>
            </w:tabs>
            <w:rPr>
              <w:rFonts w:cs="Arial"/>
              <w:sz w:val="16"/>
              <w:szCs w:val="16"/>
            </w:rPr>
          </w:pPr>
          <w:r>
            <w:rPr>
              <w:rFonts w:cs="Arial"/>
              <w:sz w:val="16"/>
              <w:szCs w:val="16"/>
            </w:rPr>
            <w:t>Bayerische Landesbank München</w:t>
          </w:r>
        </w:p>
        <w:p w14:paraId="6923EEDC" w14:textId="77777777" w:rsidR="00F13F05" w:rsidRDefault="00F13F05" w:rsidP="00F13F05">
          <w:pPr>
            <w:tabs>
              <w:tab w:val="center" w:pos="4536"/>
              <w:tab w:val="right" w:pos="9072"/>
            </w:tabs>
            <w:rPr>
              <w:rFonts w:cs="Arial"/>
              <w:sz w:val="16"/>
              <w:szCs w:val="16"/>
            </w:rPr>
          </w:pPr>
          <w:bookmarkStart w:id="11" w:name="blz"/>
          <w:bookmarkEnd w:id="11"/>
          <w:r>
            <w:rPr>
              <w:rFonts w:cs="Arial"/>
              <w:sz w:val="16"/>
              <w:szCs w:val="16"/>
            </w:rPr>
            <w:t>IBAN:</w:t>
          </w:r>
        </w:p>
        <w:p w14:paraId="228F4DD5" w14:textId="77777777" w:rsidR="00F13F05" w:rsidRDefault="00F13F05" w:rsidP="00F13F05">
          <w:pPr>
            <w:tabs>
              <w:tab w:val="center" w:pos="4536"/>
              <w:tab w:val="right" w:pos="9072"/>
            </w:tabs>
            <w:rPr>
              <w:rFonts w:cs="Arial"/>
              <w:sz w:val="16"/>
              <w:szCs w:val="16"/>
            </w:rPr>
          </w:pPr>
          <w:r>
            <w:rPr>
              <w:rFonts w:cs="Arial"/>
              <w:sz w:val="16"/>
              <w:szCs w:val="16"/>
            </w:rPr>
            <w:t>DE34 7005 0000 0000 0249 19</w:t>
          </w:r>
        </w:p>
        <w:p w14:paraId="6EA9AB09" w14:textId="77777777" w:rsidR="0060687F" w:rsidRDefault="00F13F05" w:rsidP="00F13F05">
          <w:pPr>
            <w:tabs>
              <w:tab w:val="center" w:pos="4536"/>
              <w:tab w:val="right" w:pos="9072"/>
            </w:tabs>
            <w:rPr>
              <w:rFonts w:cs="Arial"/>
              <w:sz w:val="16"/>
              <w:szCs w:val="15"/>
            </w:rPr>
          </w:pPr>
          <w:bookmarkStart w:id="12" w:name="kto"/>
          <w:bookmarkEnd w:id="12"/>
          <w:r>
            <w:rPr>
              <w:rFonts w:cs="Arial"/>
              <w:sz w:val="16"/>
              <w:szCs w:val="16"/>
            </w:rPr>
            <w:t>BIC: BYLADEMM</w:t>
          </w:r>
        </w:p>
      </w:tc>
    </w:tr>
  </w:tbl>
  <w:p w14:paraId="47E85AFC" w14:textId="77777777" w:rsidR="00D95233" w:rsidRPr="0060687F" w:rsidRDefault="00D95233" w:rsidP="006068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9B50" w14:textId="77777777" w:rsidR="002A7113" w:rsidRDefault="002A7113">
      <w:r>
        <w:separator/>
      </w:r>
    </w:p>
  </w:footnote>
  <w:footnote w:type="continuationSeparator" w:id="0">
    <w:p w14:paraId="2419BB2D" w14:textId="77777777" w:rsidR="002A7113" w:rsidRDefault="002A7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9430" w14:textId="77777777" w:rsidR="0060687F" w:rsidRPr="00AE71BE" w:rsidRDefault="00BA6C4C" w:rsidP="00BA6C4C">
    <w:pPr>
      <w:pStyle w:val="Kopfzeile"/>
      <w:jc w:val="center"/>
      <w:rPr>
        <w:rFonts w:ascii="Arial" w:hAnsi="Arial"/>
      </w:rPr>
    </w:pPr>
    <w:r w:rsidRPr="00AE71BE">
      <w:rPr>
        <w:rStyle w:val="Seitenzahl"/>
        <w:rFonts w:ascii="Arial" w:hAnsi="Arial"/>
      </w:rPr>
      <w:fldChar w:fldCharType="begin"/>
    </w:r>
    <w:r w:rsidRPr="00AE71BE">
      <w:rPr>
        <w:rStyle w:val="Seitenzahl"/>
        <w:rFonts w:ascii="Arial" w:hAnsi="Arial"/>
      </w:rPr>
      <w:instrText xml:space="preserve"> PAGE </w:instrText>
    </w:r>
    <w:r w:rsidRPr="00AE71BE">
      <w:rPr>
        <w:rStyle w:val="Seitenzahl"/>
        <w:rFonts w:ascii="Arial" w:hAnsi="Arial"/>
      </w:rPr>
      <w:fldChar w:fldCharType="separate"/>
    </w:r>
    <w:r w:rsidR="00374F65">
      <w:rPr>
        <w:rStyle w:val="Seitenzahl"/>
        <w:rFonts w:ascii="Arial" w:hAnsi="Arial"/>
        <w:noProof/>
      </w:rPr>
      <w:t>- 2 -</w:t>
    </w:r>
    <w:r w:rsidRPr="00AE71BE">
      <w:rPr>
        <w:rStyle w:val="Seitenzahl"/>
        <w:rFonts w:ascii="Arial" w:hAnsi="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971A6"/>
    <w:multiLevelType w:val="hybridMultilevel"/>
    <w:tmpl w:val="4D728226"/>
    <w:lvl w:ilvl="0" w:tplc="EA7E7236">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C137D6E"/>
    <w:multiLevelType w:val="hybridMultilevel"/>
    <w:tmpl w:val="8548ADF2"/>
    <w:lvl w:ilvl="0" w:tplc="EA7E7236">
      <w:start w:val="1"/>
      <w:numFmt w:val="upperRoman"/>
      <w:lvlText w:val="%1."/>
      <w:lvlJc w:val="left"/>
      <w:pPr>
        <w:tabs>
          <w:tab w:val="num" w:pos="1080"/>
        </w:tabs>
        <w:ind w:left="1080" w:hanging="720"/>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783458817">
    <w:abstractNumId w:val="1"/>
  </w:num>
  <w:num w:numId="2" w16cid:durableId="70991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3D"/>
    <w:rsid w:val="00010700"/>
    <w:rsid w:val="00013833"/>
    <w:rsid w:val="0002182E"/>
    <w:rsid w:val="00022CF9"/>
    <w:rsid w:val="00033A24"/>
    <w:rsid w:val="00057A0E"/>
    <w:rsid w:val="000640E3"/>
    <w:rsid w:val="00077303"/>
    <w:rsid w:val="00091885"/>
    <w:rsid w:val="00094A5B"/>
    <w:rsid w:val="000E6754"/>
    <w:rsid w:val="000F12A9"/>
    <w:rsid w:val="000F3470"/>
    <w:rsid w:val="00104CDD"/>
    <w:rsid w:val="0013229B"/>
    <w:rsid w:val="00146DC1"/>
    <w:rsid w:val="00161584"/>
    <w:rsid w:val="0018045E"/>
    <w:rsid w:val="00183D52"/>
    <w:rsid w:val="001976C4"/>
    <w:rsid w:val="001A4EEF"/>
    <w:rsid w:val="001B34D3"/>
    <w:rsid w:val="001D5065"/>
    <w:rsid w:val="002638F6"/>
    <w:rsid w:val="00271409"/>
    <w:rsid w:val="002A7113"/>
    <w:rsid w:val="003068BD"/>
    <w:rsid w:val="00307535"/>
    <w:rsid w:val="00312879"/>
    <w:rsid w:val="003160C2"/>
    <w:rsid w:val="00320BE5"/>
    <w:rsid w:val="00333F76"/>
    <w:rsid w:val="00345FEA"/>
    <w:rsid w:val="003505C2"/>
    <w:rsid w:val="00374F65"/>
    <w:rsid w:val="003A52D4"/>
    <w:rsid w:val="003B2D3B"/>
    <w:rsid w:val="003B439D"/>
    <w:rsid w:val="003C785B"/>
    <w:rsid w:val="003E1658"/>
    <w:rsid w:val="003F2AA7"/>
    <w:rsid w:val="00407CF5"/>
    <w:rsid w:val="00453788"/>
    <w:rsid w:val="00480E8F"/>
    <w:rsid w:val="004824C2"/>
    <w:rsid w:val="004B5B56"/>
    <w:rsid w:val="004E066F"/>
    <w:rsid w:val="00512652"/>
    <w:rsid w:val="00530A39"/>
    <w:rsid w:val="0053426C"/>
    <w:rsid w:val="00556F5E"/>
    <w:rsid w:val="00560A3D"/>
    <w:rsid w:val="00575281"/>
    <w:rsid w:val="00575402"/>
    <w:rsid w:val="005B33AD"/>
    <w:rsid w:val="005D07A2"/>
    <w:rsid w:val="005D597B"/>
    <w:rsid w:val="006017F4"/>
    <w:rsid w:val="00604B26"/>
    <w:rsid w:val="0060687F"/>
    <w:rsid w:val="0064040F"/>
    <w:rsid w:val="00646855"/>
    <w:rsid w:val="00651D64"/>
    <w:rsid w:val="00663950"/>
    <w:rsid w:val="00664F55"/>
    <w:rsid w:val="00681360"/>
    <w:rsid w:val="006D2331"/>
    <w:rsid w:val="006E47B4"/>
    <w:rsid w:val="006F06A3"/>
    <w:rsid w:val="0074354B"/>
    <w:rsid w:val="00765CD1"/>
    <w:rsid w:val="0077668B"/>
    <w:rsid w:val="00782476"/>
    <w:rsid w:val="007C04B3"/>
    <w:rsid w:val="00840B5A"/>
    <w:rsid w:val="008813D7"/>
    <w:rsid w:val="008A47CE"/>
    <w:rsid w:val="008C23EF"/>
    <w:rsid w:val="008C28EF"/>
    <w:rsid w:val="008E040D"/>
    <w:rsid w:val="008E5CD0"/>
    <w:rsid w:val="00911917"/>
    <w:rsid w:val="009250BA"/>
    <w:rsid w:val="009324A8"/>
    <w:rsid w:val="00933D77"/>
    <w:rsid w:val="00942738"/>
    <w:rsid w:val="00951F47"/>
    <w:rsid w:val="0095487A"/>
    <w:rsid w:val="00955843"/>
    <w:rsid w:val="009617CF"/>
    <w:rsid w:val="0096513D"/>
    <w:rsid w:val="009678A7"/>
    <w:rsid w:val="009B5BE9"/>
    <w:rsid w:val="009E225B"/>
    <w:rsid w:val="00A10CBC"/>
    <w:rsid w:val="00A17696"/>
    <w:rsid w:val="00A46E83"/>
    <w:rsid w:val="00A5285D"/>
    <w:rsid w:val="00A65AA0"/>
    <w:rsid w:val="00A803BE"/>
    <w:rsid w:val="00A9402E"/>
    <w:rsid w:val="00AB1EA3"/>
    <w:rsid w:val="00AB67CA"/>
    <w:rsid w:val="00AC19A8"/>
    <w:rsid w:val="00AC4213"/>
    <w:rsid w:val="00AD4F77"/>
    <w:rsid w:val="00AE1CD2"/>
    <w:rsid w:val="00AE71BE"/>
    <w:rsid w:val="00AF3B17"/>
    <w:rsid w:val="00AF64E5"/>
    <w:rsid w:val="00AF7B43"/>
    <w:rsid w:val="00B00DF0"/>
    <w:rsid w:val="00B346FA"/>
    <w:rsid w:val="00B4072B"/>
    <w:rsid w:val="00B51E2A"/>
    <w:rsid w:val="00B55CE0"/>
    <w:rsid w:val="00B55EE6"/>
    <w:rsid w:val="00B60990"/>
    <w:rsid w:val="00B6517E"/>
    <w:rsid w:val="00B7664A"/>
    <w:rsid w:val="00B844F9"/>
    <w:rsid w:val="00BA6C4C"/>
    <w:rsid w:val="00BC7422"/>
    <w:rsid w:val="00BE2414"/>
    <w:rsid w:val="00BF0F06"/>
    <w:rsid w:val="00BF1544"/>
    <w:rsid w:val="00C1412D"/>
    <w:rsid w:val="00C354A1"/>
    <w:rsid w:val="00C414A1"/>
    <w:rsid w:val="00C46990"/>
    <w:rsid w:val="00C50C01"/>
    <w:rsid w:val="00C55D65"/>
    <w:rsid w:val="00C56547"/>
    <w:rsid w:val="00C60126"/>
    <w:rsid w:val="00C6408B"/>
    <w:rsid w:val="00C71848"/>
    <w:rsid w:val="00D2349E"/>
    <w:rsid w:val="00D2376D"/>
    <w:rsid w:val="00D33648"/>
    <w:rsid w:val="00D352B1"/>
    <w:rsid w:val="00D41519"/>
    <w:rsid w:val="00D420B9"/>
    <w:rsid w:val="00D5454E"/>
    <w:rsid w:val="00D62969"/>
    <w:rsid w:val="00D95233"/>
    <w:rsid w:val="00DB652F"/>
    <w:rsid w:val="00DC4D61"/>
    <w:rsid w:val="00DC761A"/>
    <w:rsid w:val="00DD4904"/>
    <w:rsid w:val="00DD6D20"/>
    <w:rsid w:val="00DE5FA2"/>
    <w:rsid w:val="00DE7AF7"/>
    <w:rsid w:val="00E04D22"/>
    <w:rsid w:val="00E0725B"/>
    <w:rsid w:val="00E2573C"/>
    <w:rsid w:val="00E55709"/>
    <w:rsid w:val="00E74AB5"/>
    <w:rsid w:val="00EB1F8C"/>
    <w:rsid w:val="00EB4C35"/>
    <w:rsid w:val="00ED29A4"/>
    <w:rsid w:val="00EE417C"/>
    <w:rsid w:val="00EE73C2"/>
    <w:rsid w:val="00EF0777"/>
    <w:rsid w:val="00EF70B7"/>
    <w:rsid w:val="00F13F05"/>
    <w:rsid w:val="00F32991"/>
    <w:rsid w:val="00F4140C"/>
    <w:rsid w:val="00F5564B"/>
    <w:rsid w:val="00F757B4"/>
    <w:rsid w:val="00FA3AEE"/>
    <w:rsid w:val="00FB4E47"/>
    <w:rsid w:val="00FD3666"/>
    <w:rsid w:val="00FD6B6B"/>
    <w:rsid w:val="00FD71F2"/>
    <w:rsid w:val="00FF4C63"/>
    <w:rsid w:val="00FF64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3D9F31D"/>
  <w15:docId w15:val="{9242BE4D-AFFE-4891-B517-D56EF8F7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A4EEF"/>
    <w:rPr>
      <w:rFonts w:ascii="Arial" w:hAnsi="Arial"/>
      <w:sz w:val="24"/>
      <w:szCs w:val="24"/>
    </w:rPr>
  </w:style>
  <w:style w:type="paragraph" w:styleId="berschrift1">
    <w:name w:val="heading 1"/>
    <w:basedOn w:val="Standard"/>
    <w:next w:val="Standard"/>
    <w:qFormat/>
    <w:rsid w:val="00094A5B"/>
    <w:pPr>
      <w:keepNext/>
      <w:spacing w:before="240" w:after="60"/>
      <w:outlineLvl w:val="0"/>
    </w:pPr>
    <w:rPr>
      <w:rFonts w:cs="Arial"/>
      <w:b/>
      <w:bCs/>
      <w:kern w:val="32"/>
      <w:sz w:val="32"/>
      <w:szCs w:val="32"/>
    </w:rPr>
  </w:style>
  <w:style w:type="paragraph" w:styleId="berschrift5">
    <w:name w:val="heading 5"/>
    <w:basedOn w:val="Standard"/>
    <w:next w:val="Standard"/>
    <w:qFormat/>
    <w:rsid w:val="001A4EEF"/>
    <w:pPr>
      <w:keepNext/>
      <w:outlineLvl w:val="4"/>
    </w:pPr>
    <w:rPr>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A4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1A4EEF"/>
    <w:pPr>
      <w:tabs>
        <w:tab w:val="center" w:pos="4536"/>
        <w:tab w:val="right" w:pos="9072"/>
      </w:tabs>
    </w:pPr>
    <w:rPr>
      <w:rFonts w:ascii="Times New Roman" w:hAnsi="Times New Roman"/>
    </w:rPr>
  </w:style>
  <w:style w:type="paragraph" w:styleId="Fuzeile">
    <w:name w:val="footer"/>
    <w:basedOn w:val="Standard"/>
    <w:rsid w:val="00094A5B"/>
    <w:pPr>
      <w:tabs>
        <w:tab w:val="center" w:pos="4536"/>
        <w:tab w:val="right" w:pos="9072"/>
      </w:tabs>
    </w:pPr>
  </w:style>
  <w:style w:type="character" w:styleId="Seitenzahl">
    <w:name w:val="page number"/>
    <w:basedOn w:val="Absatz-Standardschriftart"/>
    <w:rsid w:val="00AC4213"/>
  </w:style>
  <w:style w:type="paragraph" w:styleId="Sprechblasentext">
    <w:name w:val="Balloon Text"/>
    <w:basedOn w:val="Standard"/>
    <w:semiHidden/>
    <w:rsid w:val="00B51E2A"/>
    <w:rPr>
      <w:rFonts w:ascii="Tahoma" w:hAnsi="Tahoma" w:cs="Tahoma"/>
      <w:sz w:val="16"/>
      <w:szCs w:val="16"/>
    </w:rPr>
  </w:style>
  <w:style w:type="character" w:styleId="Kommentarzeichen">
    <w:name w:val="annotation reference"/>
    <w:uiPriority w:val="99"/>
    <w:semiHidden/>
    <w:unhideWhenUsed/>
    <w:rsid w:val="00A10CBC"/>
    <w:rPr>
      <w:sz w:val="16"/>
      <w:szCs w:val="16"/>
    </w:rPr>
  </w:style>
  <w:style w:type="paragraph" w:styleId="Kommentartext">
    <w:name w:val="annotation text"/>
    <w:basedOn w:val="Standard"/>
    <w:link w:val="KommentartextZchn"/>
    <w:uiPriority w:val="99"/>
    <w:semiHidden/>
    <w:unhideWhenUsed/>
    <w:rsid w:val="00A10CBC"/>
    <w:rPr>
      <w:rFonts w:ascii="Times New Roman" w:hAnsi="Times New Roman"/>
      <w:sz w:val="20"/>
      <w:szCs w:val="20"/>
    </w:rPr>
  </w:style>
  <w:style w:type="character" w:customStyle="1" w:styleId="KommentartextZchn">
    <w:name w:val="Kommentartext Zchn"/>
    <w:basedOn w:val="Absatz-Standardschriftart"/>
    <w:link w:val="Kommentartext"/>
    <w:uiPriority w:val="99"/>
    <w:semiHidden/>
    <w:rsid w:val="00A10CBC"/>
  </w:style>
  <w:style w:type="paragraph" w:styleId="StandardWeb">
    <w:name w:val="Normal (Web)"/>
    <w:basedOn w:val="Standard"/>
    <w:semiHidden/>
    <w:unhideWhenUsed/>
    <w:rsid w:val="0095584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859">
      <w:bodyDiv w:val="1"/>
      <w:marLeft w:val="0"/>
      <w:marRight w:val="0"/>
      <w:marTop w:val="0"/>
      <w:marBottom w:val="0"/>
      <w:divBdr>
        <w:top w:val="none" w:sz="0" w:space="0" w:color="auto"/>
        <w:left w:val="none" w:sz="0" w:space="0" w:color="auto"/>
        <w:bottom w:val="none" w:sz="0" w:space="0" w:color="auto"/>
        <w:right w:val="none" w:sz="0" w:space="0" w:color="auto"/>
      </w:divBdr>
    </w:div>
    <w:div w:id="56982372">
      <w:bodyDiv w:val="1"/>
      <w:marLeft w:val="0"/>
      <w:marRight w:val="0"/>
      <w:marTop w:val="0"/>
      <w:marBottom w:val="0"/>
      <w:divBdr>
        <w:top w:val="none" w:sz="0" w:space="0" w:color="auto"/>
        <w:left w:val="none" w:sz="0" w:space="0" w:color="auto"/>
        <w:bottom w:val="none" w:sz="0" w:space="0" w:color="auto"/>
        <w:right w:val="none" w:sz="0" w:space="0" w:color="auto"/>
      </w:divBdr>
    </w:div>
    <w:div w:id="340621528">
      <w:bodyDiv w:val="1"/>
      <w:marLeft w:val="0"/>
      <w:marRight w:val="0"/>
      <w:marTop w:val="0"/>
      <w:marBottom w:val="0"/>
      <w:divBdr>
        <w:top w:val="none" w:sz="0" w:space="0" w:color="auto"/>
        <w:left w:val="none" w:sz="0" w:space="0" w:color="auto"/>
        <w:bottom w:val="none" w:sz="0" w:space="0" w:color="auto"/>
        <w:right w:val="none" w:sz="0" w:space="0" w:color="auto"/>
      </w:divBdr>
    </w:div>
    <w:div w:id="359357410">
      <w:bodyDiv w:val="1"/>
      <w:marLeft w:val="0"/>
      <w:marRight w:val="0"/>
      <w:marTop w:val="0"/>
      <w:marBottom w:val="0"/>
      <w:divBdr>
        <w:top w:val="none" w:sz="0" w:space="0" w:color="auto"/>
        <w:left w:val="none" w:sz="0" w:space="0" w:color="auto"/>
        <w:bottom w:val="none" w:sz="0" w:space="0" w:color="auto"/>
        <w:right w:val="none" w:sz="0" w:space="0" w:color="auto"/>
      </w:divBdr>
    </w:div>
    <w:div w:id="652832301">
      <w:bodyDiv w:val="1"/>
      <w:marLeft w:val="0"/>
      <w:marRight w:val="0"/>
      <w:marTop w:val="0"/>
      <w:marBottom w:val="0"/>
      <w:divBdr>
        <w:top w:val="none" w:sz="0" w:space="0" w:color="auto"/>
        <w:left w:val="none" w:sz="0" w:space="0" w:color="auto"/>
        <w:bottom w:val="none" w:sz="0" w:space="0" w:color="auto"/>
        <w:right w:val="none" w:sz="0" w:space="0" w:color="auto"/>
      </w:divBdr>
    </w:div>
    <w:div w:id="714964388">
      <w:bodyDiv w:val="1"/>
      <w:marLeft w:val="0"/>
      <w:marRight w:val="0"/>
      <w:marTop w:val="0"/>
      <w:marBottom w:val="0"/>
      <w:divBdr>
        <w:top w:val="none" w:sz="0" w:space="0" w:color="auto"/>
        <w:left w:val="none" w:sz="0" w:space="0" w:color="auto"/>
        <w:bottom w:val="none" w:sz="0" w:space="0" w:color="auto"/>
        <w:right w:val="none" w:sz="0" w:space="0" w:color="auto"/>
      </w:divBdr>
    </w:div>
    <w:div w:id="826702792">
      <w:bodyDiv w:val="1"/>
      <w:marLeft w:val="0"/>
      <w:marRight w:val="0"/>
      <w:marTop w:val="0"/>
      <w:marBottom w:val="0"/>
      <w:divBdr>
        <w:top w:val="none" w:sz="0" w:space="0" w:color="auto"/>
        <w:left w:val="none" w:sz="0" w:space="0" w:color="auto"/>
        <w:bottom w:val="none" w:sz="0" w:space="0" w:color="auto"/>
        <w:right w:val="none" w:sz="0" w:space="0" w:color="auto"/>
      </w:divBdr>
    </w:div>
    <w:div w:id="833230066">
      <w:bodyDiv w:val="1"/>
      <w:marLeft w:val="0"/>
      <w:marRight w:val="0"/>
      <w:marTop w:val="0"/>
      <w:marBottom w:val="0"/>
      <w:divBdr>
        <w:top w:val="none" w:sz="0" w:space="0" w:color="auto"/>
        <w:left w:val="none" w:sz="0" w:space="0" w:color="auto"/>
        <w:bottom w:val="none" w:sz="0" w:space="0" w:color="auto"/>
        <w:right w:val="none" w:sz="0" w:space="0" w:color="auto"/>
      </w:divBdr>
    </w:div>
    <w:div w:id="1521122902">
      <w:bodyDiv w:val="1"/>
      <w:marLeft w:val="0"/>
      <w:marRight w:val="0"/>
      <w:marTop w:val="0"/>
      <w:marBottom w:val="0"/>
      <w:divBdr>
        <w:top w:val="none" w:sz="0" w:space="0" w:color="auto"/>
        <w:left w:val="none" w:sz="0" w:space="0" w:color="auto"/>
        <w:bottom w:val="none" w:sz="0" w:space="0" w:color="auto"/>
        <w:right w:val="none" w:sz="0" w:space="0" w:color="auto"/>
      </w:divBdr>
    </w:div>
    <w:div w:id="1525946514">
      <w:bodyDiv w:val="1"/>
      <w:marLeft w:val="0"/>
      <w:marRight w:val="0"/>
      <w:marTop w:val="0"/>
      <w:marBottom w:val="0"/>
      <w:divBdr>
        <w:top w:val="none" w:sz="0" w:space="0" w:color="auto"/>
        <w:left w:val="none" w:sz="0" w:space="0" w:color="auto"/>
        <w:bottom w:val="none" w:sz="0" w:space="0" w:color="auto"/>
        <w:right w:val="none" w:sz="0" w:space="0" w:color="auto"/>
      </w:divBdr>
    </w:div>
    <w:div w:id="1790779361">
      <w:bodyDiv w:val="1"/>
      <w:marLeft w:val="0"/>
      <w:marRight w:val="0"/>
      <w:marTop w:val="0"/>
      <w:marBottom w:val="0"/>
      <w:divBdr>
        <w:top w:val="none" w:sz="0" w:space="0" w:color="auto"/>
        <w:left w:val="none" w:sz="0" w:space="0" w:color="auto"/>
        <w:bottom w:val="none" w:sz="0" w:space="0" w:color="auto"/>
        <w:right w:val="none" w:sz="0" w:space="0" w:color="auto"/>
      </w:divBdr>
    </w:div>
    <w:div w:id="1956868245">
      <w:bodyDiv w:val="1"/>
      <w:marLeft w:val="0"/>
      <w:marRight w:val="0"/>
      <w:marTop w:val="0"/>
      <w:marBottom w:val="0"/>
      <w:divBdr>
        <w:top w:val="none" w:sz="0" w:space="0" w:color="auto"/>
        <w:left w:val="none" w:sz="0" w:space="0" w:color="auto"/>
        <w:bottom w:val="none" w:sz="0" w:space="0" w:color="auto"/>
        <w:right w:val="none" w:sz="0" w:space="0" w:color="auto"/>
      </w:divBdr>
    </w:div>
    <w:div w:id="212109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3AD10D1A-9F10-447D-B147-903285BB7B0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97F6E-1C53-469C-BB0A-7FC0391F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2277</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"Bayerisches Staatsministerium der Justiz"</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Hörmann, Thomas</dc:creator>
  <cp:lastModifiedBy>Geiger, Patrizia</cp:lastModifiedBy>
  <cp:revision>2</cp:revision>
  <cp:lastPrinted>2022-05-05T06:59:00Z</cp:lastPrinted>
  <dcterms:created xsi:type="dcterms:W3CDTF">2026-02-23T07:30:00Z</dcterms:created>
  <dcterms:modified xsi:type="dcterms:W3CDTF">2026-02-23T07:30:00Z</dcterms:modified>
</cp:coreProperties>
</file>