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8"/>
        <w:gridCol w:w="2126"/>
      </w:tblGrid>
      <w:tr w:rsidR="00BB1B0A" w:rsidRPr="00C811EB" w14:paraId="2C75FB40" w14:textId="77777777" w:rsidTr="00DF2601">
        <w:tc>
          <w:tcPr>
            <w:tcW w:w="8188" w:type="dxa"/>
          </w:tcPr>
          <w:p w14:paraId="1D877248" w14:textId="57F09E21" w:rsidR="00BB1B0A" w:rsidRPr="008F65DA" w:rsidRDefault="00BB1B0A" w:rsidP="00023145">
            <w:pPr>
              <w:rPr>
                <w:sz w:val="4"/>
                <w:szCs w:val="4"/>
              </w:rPr>
            </w:pPr>
          </w:p>
        </w:tc>
        <w:tc>
          <w:tcPr>
            <w:tcW w:w="2126" w:type="dxa"/>
          </w:tcPr>
          <w:p w14:paraId="7037EC6D" w14:textId="77777777" w:rsidR="00BB1B0A" w:rsidRPr="008F65DA" w:rsidRDefault="00BB1B0A" w:rsidP="008F65DA">
            <w:pPr>
              <w:jc w:val="right"/>
              <w:rPr>
                <w:sz w:val="4"/>
                <w:szCs w:val="4"/>
              </w:rPr>
            </w:pPr>
          </w:p>
        </w:tc>
      </w:tr>
      <w:tr w:rsidR="001D653F" w:rsidRPr="001D653F" w14:paraId="017DB867" w14:textId="77777777" w:rsidTr="001D653F">
        <w:tc>
          <w:tcPr>
            <w:tcW w:w="8188" w:type="dxa"/>
            <w:vAlign w:val="bottom"/>
          </w:tcPr>
          <w:p w14:paraId="45347E39" w14:textId="62C9366E" w:rsidR="001D653F" w:rsidRDefault="008434A9" w:rsidP="003652D6">
            <w:pPr>
              <w:jc w:val="right"/>
              <w:rPr>
                <w:sz w:val="28"/>
                <w:szCs w:val="28"/>
              </w:rPr>
            </w:pPr>
            <w:bookmarkStart w:id="0" w:name="titel1"/>
            <w:bookmarkEnd w:id="0"/>
            <w:r>
              <w:rPr>
                <w:sz w:val="28"/>
                <w:szCs w:val="28"/>
              </w:rPr>
              <w:t>Landgericht</w:t>
            </w:r>
            <w:r w:rsidR="005D31C8">
              <w:rPr>
                <w:sz w:val="28"/>
                <w:szCs w:val="28"/>
              </w:rPr>
              <w:t xml:space="preserve"> Traunstein</w:t>
            </w:r>
          </w:p>
          <w:p w14:paraId="09DB1E7C" w14:textId="558EB010" w:rsidR="008434A9" w:rsidRPr="005A2AE9" w:rsidRDefault="002521CA" w:rsidP="003652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Pressestelle</w:t>
            </w:r>
          </w:p>
        </w:tc>
        <w:tc>
          <w:tcPr>
            <w:tcW w:w="2126" w:type="dxa"/>
            <w:vAlign w:val="bottom"/>
          </w:tcPr>
          <w:p w14:paraId="362D435B" w14:textId="77777777" w:rsidR="001D653F" w:rsidRPr="001D653F" w:rsidRDefault="00715E7D" w:rsidP="001D653F">
            <w:pPr>
              <w:jc w:val="right"/>
              <w:rPr>
                <w:sz w:val="16"/>
                <w:szCs w:val="16"/>
                <w:u w:val="single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727F6FE" wp14:editId="533B657C">
                  <wp:extent cx="1076325" cy="6000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6F" w:rsidRPr="008F65DA" w14:paraId="5F592024" w14:textId="77777777" w:rsidTr="004D3EEE">
        <w:tc>
          <w:tcPr>
            <w:tcW w:w="8188" w:type="dxa"/>
          </w:tcPr>
          <w:p w14:paraId="4F17FFB0" w14:textId="77777777" w:rsidR="00046D6F" w:rsidRPr="008F65DA" w:rsidRDefault="00046D6F" w:rsidP="008F65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B8EC96" w14:textId="77777777" w:rsidR="00046D6F" w:rsidRPr="008F65DA" w:rsidRDefault="00046D6F" w:rsidP="008F65DA">
            <w:pPr>
              <w:jc w:val="right"/>
              <w:rPr>
                <w:sz w:val="20"/>
                <w:szCs w:val="20"/>
              </w:rPr>
            </w:pPr>
          </w:p>
        </w:tc>
      </w:tr>
      <w:tr w:rsidR="0049039F" w:rsidRPr="00537F52" w14:paraId="71A2100B" w14:textId="77777777" w:rsidTr="008654CE">
        <w:tc>
          <w:tcPr>
            <w:tcW w:w="8188" w:type="dxa"/>
          </w:tcPr>
          <w:p w14:paraId="7932E343" w14:textId="77777777" w:rsidR="0049039F" w:rsidRPr="00537F52" w:rsidRDefault="0049039F" w:rsidP="008654CE">
            <w:pPr>
              <w:jc w:val="right"/>
              <w:rPr>
                <w:i/>
                <w:noProof/>
                <w:color w:val="000000"/>
                <w:sz w:val="26"/>
                <w:szCs w:val="26"/>
              </w:rPr>
            </w:pPr>
            <w:bookmarkStart w:id="1" w:name="titel2"/>
            <w:bookmarkEnd w:id="1"/>
          </w:p>
        </w:tc>
        <w:tc>
          <w:tcPr>
            <w:tcW w:w="2126" w:type="dxa"/>
          </w:tcPr>
          <w:p w14:paraId="3045678B" w14:textId="77777777" w:rsidR="0049039F" w:rsidRPr="008F65DA" w:rsidRDefault="0049039F" w:rsidP="008F65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6D6F" w:rsidRPr="008F65DA" w14:paraId="0313D0F5" w14:textId="77777777" w:rsidTr="005D31C8">
        <w:trPr>
          <w:trHeight w:val="80"/>
        </w:trPr>
        <w:tc>
          <w:tcPr>
            <w:tcW w:w="8188" w:type="dxa"/>
          </w:tcPr>
          <w:p w14:paraId="714E59F3" w14:textId="77777777" w:rsidR="00046D6F" w:rsidRPr="008F65DA" w:rsidRDefault="00046D6F" w:rsidP="008F65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5DDA51A" w14:textId="77777777" w:rsidR="00046D6F" w:rsidRPr="008F65DA" w:rsidRDefault="00046D6F" w:rsidP="008F65D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7B9C9FB" w14:textId="77777777" w:rsidR="008434A9" w:rsidRDefault="008434A9" w:rsidP="008434A9">
      <w:pPr>
        <w:rPr>
          <w:sz w:val="18"/>
          <w:szCs w:val="18"/>
        </w:rPr>
      </w:pPr>
    </w:p>
    <w:p w14:paraId="529B5683" w14:textId="77777777" w:rsidR="00B86A1C" w:rsidRDefault="00B86A1C" w:rsidP="008434A9">
      <w:pPr>
        <w:rPr>
          <w:sz w:val="18"/>
          <w:szCs w:val="18"/>
        </w:rPr>
      </w:pPr>
    </w:p>
    <w:p w14:paraId="189A6D12" w14:textId="5B85FA0D" w:rsidR="002521CA" w:rsidRPr="002521CA" w:rsidRDefault="002521CA" w:rsidP="002521CA">
      <w:pPr>
        <w:spacing w:line="360" w:lineRule="auto"/>
        <w:jc w:val="center"/>
        <w:rPr>
          <w:b/>
          <w:bCs/>
          <w:sz w:val="28"/>
          <w:szCs w:val="28"/>
        </w:rPr>
      </w:pPr>
      <w:r w:rsidRPr="002521CA">
        <w:rPr>
          <w:b/>
          <w:bCs/>
          <w:sz w:val="28"/>
          <w:szCs w:val="28"/>
        </w:rPr>
        <w:t xml:space="preserve">Pressemitteilung vom </w:t>
      </w:r>
      <w:r w:rsidR="0098065F">
        <w:rPr>
          <w:b/>
          <w:bCs/>
          <w:sz w:val="28"/>
          <w:szCs w:val="28"/>
        </w:rPr>
        <w:t>11.06.2026</w:t>
      </w:r>
    </w:p>
    <w:p w14:paraId="62999CDF" w14:textId="77777777" w:rsidR="0098065F" w:rsidRDefault="0098065F" w:rsidP="00C93600">
      <w:pPr>
        <w:jc w:val="both"/>
      </w:pPr>
    </w:p>
    <w:p w14:paraId="622B54F6" w14:textId="77777777" w:rsidR="005536E9" w:rsidRDefault="005536E9" w:rsidP="00C93600">
      <w:pPr>
        <w:jc w:val="both"/>
        <w:rPr>
          <w:b/>
          <w:bCs/>
        </w:rPr>
      </w:pPr>
    </w:p>
    <w:p w14:paraId="19D1B9A5" w14:textId="11F890D6" w:rsidR="00C93600" w:rsidRDefault="0098065F" w:rsidP="0024069B">
      <w:pPr>
        <w:spacing w:line="360" w:lineRule="auto"/>
        <w:jc w:val="both"/>
      </w:pPr>
      <w:r w:rsidRPr="0098065F">
        <w:rPr>
          <w:b/>
          <w:bCs/>
        </w:rPr>
        <w:t>Recht</w:t>
      </w:r>
      <w:r>
        <w:rPr>
          <w:b/>
          <w:bCs/>
        </w:rPr>
        <w:t xml:space="preserve"> </w:t>
      </w:r>
      <w:r w:rsidRPr="0098065F">
        <w:rPr>
          <w:b/>
          <w:bCs/>
        </w:rPr>
        <w:t>verbindet:</w:t>
      </w:r>
      <w:r w:rsidR="005536E9">
        <w:rPr>
          <w:b/>
          <w:bCs/>
        </w:rPr>
        <w:t xml:space="preserve"> </w:t>
      </w:r>
      <w:r w:rsidRPr="0098065F">
        <w:rPr>
          <w:b/>
          <w:bCs/>
        </w:rPr>
        <w:t xml:space="preserve">Richter festigen </w:t>
      </w:r>
      <w:r w:rsidR="005536E9">
        <w:rPr>
          <w:b/>
          <w:bCs/>
        </w:rPr>
        <w:t>deutsch</w:t>
      </w:r>
      <w:r w:rsidR="0024069B">
        <w:rPr>
          <w:b/>
          <w:bCs/>
        </w:rPr>
        <w:t xml:space="preserve"> </w:t>
      </w:r>
      <w:r w:rsidR="005536E9">
        <w:rPr>
          <w:b/>
          <w:bCs/>
        </w:rPr>
        <w:t>-</w:t>
      </w:r>
      <w:r w:rsidR="0024069B">
        <w:rPr>
          <w:b/>
          <w:bCs/>
        </w:rPr>
        <w:t xml:space="preserve"> </w:t>
      </w:r>
      <w:r w:rsidR="005536E9">
        <w:rPr>
          <w:b/>
          <w:bCs/>
        </w:rPr>
        <w:t xml:space="preserve">ungarische </w:t>
      </w:r>
      <w:r w:rsidRPr="0098065F">
        <w:rPr>
          <w:b/>
          <w:bCs/>
        </w:rPr>
        <w:t>Justizpartnerschaft</w:t>
      </w:r>
      <w:r w:rsidR="00704959">
        <w:rPr>
          <w:b/>
          <w:bCs/>
        </w:rPr>
        <w:t xml:space="preserve"> und Freundschaft</w:t>
      </w:r>
      <w:r w:rsidRPr="0098065F">
        <w:rPr>
          <w:b/>
          <w:bCs/>
        </w:rPr>
        <w:t xml:space="preserve"> für die Zukunft</w:t>
      </w:r>
    </w:p>
    <w:p w14:paraId="5D756734" w14:textId="77777777" w:rsidR="00217F99" w:rsidRDefault="00217F99" w:rsidP="0078120A">
      <w:pPr>
        <w:spacing w:line="360" w:lineRule="auto"/>
        <w:jc w:val="both"/>
      </w:pPr>
    </w:p>
    <w:p w14:paraId="6D91B88E" w14:textId="41C7672C" w:rsidR="00217F99" w:rsidRDefault="00970E2A" w:rsidP="0078120A">
      <w:pPr>
        <w:spacing w:line="360" w:lineRule="auto"/>
        <w:jc w:val="both"/>
      </w:pPr>
      <w:r>
        <w:t xml:space="preserve">Am Montag, 8. Juni </w:t>
      </w:r>
      <w:r w:rsidR="007420C5">
        <w:t xml:space="preserve">2026 </w:t>
      </w:r>
      <w:r>
        <w:t xml:space="preserve">begrüßten die Präsidentin Anja Kesting und der Geschäftsleiter Albert Dirnberger den Präsidenten des </w:t>
      </w:r>
      <w:proofErr w:type="spellStart"/>
      <w:r>
        <w:t>Komitatsgerichts</w:t>
      </w:r>
      <w:proofErr w:type="spellEnd"/>
      <w:r>
        <w:t xml:space="preserve"> </w:t>
      </w:r>
      <w:proofErr w:type="spellStart"/>
      <w:r w:rsidRPr="0024069B">
        <w:t>Kaposvár</w:t>
      </w:r>
      <w:proofErr w:type="spellEnd"/>
      <w:r w:rsidRPr="0024069B">
        <w:t xml:space="preserve"> </w:t>
      </w:r>
      <w:r>
        <w:t xml:space="preserve">Dr. </w:t>
      </w:r>
      <w:proofErr w:type="spellStart"/>
      <w:r>
        <w:t>P</w:t>
      </w:r>
      <w:r w:rsidR="0024069B" w:rsidRPr="0024069B">
        <w:t>é</w:t>
      </w:r>
      <w:r>
        <w:t>ter</w:t>
      </w:r>
      <w:proofErr w:type="spellEnd"/>
      <w:r>
        <w:t xml:space="preserve"> Király am Landgericht Traunstein. Er wurde von der Vorsitzenden Richterin dieses Gerichts Dr. Gertr</w:t>
      </w:r>
      <w:r w:rsidR="0024069B" w:rsidRPr="0024069B">
        <w:t>ú</w:t>
      </w:r>
      <w:r>
        <w:t>d Matus</w:t>
      </w:r>
      <w:r w:rsidR="0024069B">
        <w:t>i</w:t>
      </w:r>
      <w:r>
        <w:t>k und der Richterin des dortigen Amtsgerichts Dr. Victoria Kern begleitet</w:t>
      </w:r>
      <w:r w:rsidRPr="0024069B">
        <w:t xml:space="preserve">.  </w:t>
      </w:r>
      <w:r w:rsidR="007420C5" w:rsidRPr="0024069B">
        <w:t xml:space="preserve">Zum wiederholten Male war auch </w:t>
      </w:r>
      <w:r w:rsidRPr="0024069B">
        <w:t>Dr. Evá Haynal, d</w:t>
      </w:r>
      <w:r w:rsidR="007420C5" w:rsidRPr="0024069B">
        <w:t xml:space="preserve">ie </w:t>
      </w:r>
      <w:r w:rsidRPr="0024069B">
        <w:t>Leiterin der ungarischen Richterakademie in Budapest</w:t>
      </w:r>
      <w:r w:rsidR="007420C5" w:rsidRPr="0024069B">
        <w:t xml:space="preserve">, in Traunstein, </w:t>
      </w:r>
      <w:r w:rsidRPr="0024069B">
        <w:t xml:space="preserve">die zuvor </w:t>
      </w:r>
      <w:r w:rsidR="007420C5" w:rsidRPr="0024069B">
        <w:t>als ehemalige</w:t>
      </w:r>
      <w:r w:rsidRPr="0024069B">
        <w:t xml:space="preserve"> Präsidentin des </w:t>
      </w:r>
      <w:proofErr w:type="spellStart"/>
      <w:r w:rsidRPr="0024069B">
        <w:t>Komitatsgerichts</w:t>
      </w:r>
      <w:proofErr w:type="spellEnd"/>
      <w:r w:rsidRPr="0024069B">
        <w:t xml:space="preserve"> in </w:t>
      </w:r>
      <w:proofErr w:type="spellStart"/>
      <w:r w:rsidRPr="0024069B">
        <w:t>Kaposvár</w:t>
      </w:r>
      <w:proofErr w:type="spellEnd"/>
      <w:r w:rsidRPr="0024069B">
        <w:t xml:space="preserve"> </w:t>
      </w:r>
      <w:r w:rsidR="007420C5" w:rsidRPr="0024069B">
        <w:t>die Freundschaft mit den deutschen Kollegen lange Jahre gepflegt hatte.</w:t>
      </w:r>
      <w:r>
        <w:rPr>
          <w:b/>
          <w:bCs/>
        </w:rPr>
        <w:t xml:space="preserve"> </w:t>
      </w:r>
      <w:r w:rsidR="005536E9">
        <w:t>Mit anliegendem Abschiedsfoto</w:t>
      </w:r>
      <w:r w:rsidR="0035435A">
        <w:t xml:space="preserve"> und </w:t>
      </w:r>
      <w:r>
        <w:t xml:space="preserve">der Aussicht sich im nächsten Jahr in </w:t>
      </w:r>
      <w:proofErr w:type="spellStart"/>
      <w:r>
        <w:t>Kapsovár</w:t>
      </w:r>
      <w:proofErr w:type="spellEnd"/>
      <w:r>
        <w:t xml:space="preserve"> wiederzusehen, verabschiedeten sich die Gäste </w:t>
      </w:r>
      <w:r w:rsidR="004B6AE6">
        <w:t>am 11. Juni</w:t>
      </w:r>
      <w:r w:rsidR="00373B8F">
        <w:t xml:space="preserve"> 2026 </w:t>
      </w:r>
      <w:r w:rsidR="004B6AE6">
        <w:t>vom Traunsteiner Landgericht</w:t>
      </w:r>
      <w:r w:rsidR="005536E9" w:rsidRPr="00704959">
        <w:rPr>
          <w:b/>
          <w:bCs/>
        </w:rPr>
        <w:t>.</w:t>
      </w:r>
    </w:p>
    <w:p w14:paraId="35D3AFD7" w14:textId="77777777" w:rsidR="004B6AE6" w:rsidRDefault="004B6AE6" w:rsidP="0078120A">
      <w:pPr>
        <w:spacing w:line="360" w:lineRule="auto"/>
        <w:jc w:val="both"/>
      </w:pPr>
    </w:p>
    <w:p w14:paraId="292A5A98" w14:textId="01C30A9F" w:rsidR="00A10AC7" w:rsidRDefault="004B6AE6" w:rsidP="0078120A">
      <w:pPr>
        <w:spacing w:line="360" w:lineRule="auto"/>
        <w:jc w:val="both"/>
      </w:pPr>
      <w:r>
        <w:t>Der Austausch zwischen den Partnergerichten hat sich mittlerweile zu einer freundschaftlichen Verbundenheit entwickelt.</w:t>
      </w:r>
      <w:r w:rsidR="00A10AC7">
        <w:t xml:space="preserve"> </w:t>
      </w:r>
      <w:r>
        <w:t>Im Frühsommer</w:t>
      </w:r>
      <w:r w:rsidR="00A10AC7">
        <w:t xml:space="preserve"> </w:t>
      </w:r>
      <w:r w:rsidR="00970E2A" w:rsidRPr="001824DF">
        <w:t>2003</w:t>
      </w:r>
      <w:r w:rsidR="00A10AC7">
        <w:t xml:space="preserve"> </w:t>
      </w:r>
      <w:r>
        <w:t>besuchte erstmals eine Delegation aus</w:t>
      </w:r>
      <w:r w:rsidR="00970E2A">
        <w:t xml:space="preserve"> </w:t>
      </w:r>
      <w:proofErr w:type="spellStart"/>
      <w:r w:rsidR="00970E2A" w:rsidRPr="001824DF">
        <w:t>Kaposvár</w:t>
      </w:r>
      <w:proofErr w:type="spellEnd"/>
      <w:r w:rsidR="00970E2A">
        <w:rPr>
          <w:b/>
          <w:bCs/>
        </w:rPr>
        <w:t xml:space="preserve"> </w:t>
      </w:r>
      <w:r>
        <w:t>das</w:t>
      </w:r>
      <w:r w:rsidR="00A10AC7">
        <w:t xml:space="preserve"> Landgericht Traunstein.</w:t>
      </w:r>
      <w:r>
        <w:t xml:space="preserve"> Seitdem findet regelmäßig ein gemeinsame</w:t>
      </w:r>
      <w:r w:rsidR="001824DF">
        <w:t>s</w:t>
      </w:r>
      <w:r>
        <w:t xml:space="preserve"> Treffen mit dem Schwerpunkt auf einem fachlichen Austausch statt. </w:t>
      </w:r>
      <w:r w:rsidR="00A10AC7">
        <w:t xml:space="preserve"> </w:t>
      </w:r>
      <w:r>
        <w:t xml:space="preserve">Im Rahmenprogramm kommt aber regelmäßig auch das kulturelle Leben im </w:t>
      </w:r>
      <w:r w:rsidR="00373B8F">
        <w:t>B</w:t>
      </w:r>
      <w:r>
        <w:t>ayerischen Oberland bzw. im Komitat Somogy, in de</w:t>
      </w:r>
      <w:r w:rsidR="007420C5">
        <w:t>m</w:t>
      </w:r>
      <w:r>
        <w:t xml:space="preserve"> das ungarische Gericht seinen Sitz hat, nicht zu kurz. </w:t>
      </w:r>
    </w:p>
    <w:p w14:paraId="3EEF85C3" w14:textId="77777777" w:rsidR="00C46E2A" w:rsidRDefault="00C46E2A" w:rsidP="0078120A">
      <w:pPr>
        <w:spacing w:line="360" w:lineRule="auto"/>
        <w:jc w:val="both"/>
      </w:pPr>
    </w:p>
    <w:p w14:paraId="7A947F64" w14:textId="5C28C4C4" w:rsidR="00021405" w:rsidRDefault="004B6AE6" w:rsidP="00C46E2A">
      <w:pPr>
        <w:spacing w:line="360" w:lineRule="auto"/>
        <w:jc w:val="both"/>
        <w:rPr>
          <w:color w:val="FF0000"/>
        </w:rPr>
      </w:pPr>
      <w:r>
        <w:t xml:space="preserve">Den Auftakt bildete ein Besuch </w:t>
      </w:r>
      <w:r w:rsidR="002162C5">
        <w:t>beim</w:t>
      </w:r>
      <w:r w:rsidR="00C46E2A">
        <w:t xml:space="preserve"> </w:t>
      </w:r>
      <w:r>
        <w:t xml:space="preserve">Oberlandesgericht München </w:t>
      </w:r>
      <w:r w:rsidR="002162C5">
        <w:t xml:space="preserve">mit einem Empfang durch den Präsidenten </w:t>
      </w:r>
      <w:r w:rsidR="002162C5">
        <w:rPr>
          <w:color w:val="000000" w:themeColor="text1"/>
        </w:rPr>
        <w:t xml:space="preserve">des </w:t>
      </w:r>
      <w:hyperlink r:id="rId9" w:tgtFrame="_blank" w:history="1">
        <w:r w:rsidR="002162C5" w:rsidRPr="00C46E2A">
          <w:rPr>
            <w:rStyle w:val="Hyperlink"/>
            <w:color w:val="000000" w:themeColor="text1"/>
            <w:u w:val="none"/>
          </w:rPr>
          <w:t>Bayerischen Verfassungsgerichtshofs</w:t>
        </w:r>
      </w:hyperlink>
      <w:r w:rsidR="002162C5">
        <w:t xml:space="preserve"> und </w:t>
      </w:r>
      <w:r w:rsidR="002162C5" w:rsidRPr="00C46E2A">
        <w:rPr>
          <w:color w:val="000000" w:themeColor="text1"/>
        </w:rPr>
        <w:t xml:space="preserve">des </w:t>
      </w:r>
      <w:r w:rsidR="002162C5">
        <w:rPr>
          <w:color w:val="000000" w:themeColor="text1"/>
        </w:rPr>
        <w:t xml:space="preserve">Oberlandesgerichts München </w:t>
      </w:r>
      <w:r w:rsidR="002162C5" w:rsidRPr="00C46E2A">
        <w:t>Dr. Hans-Joachim Heßle</w:t>
      </w:r>
      <w:r w:rsidR="002162C5">
        <w:t>r.</w:t>
      </w:r>
      <w:r w:rsidR="002162C5">
        <w:rPr>
          <w:color w:val="000000" w:themeColor="text1"/>
        </w:rPr>
        <w:t xml:space="preserve"> </w:t>
      </w:r>
      <w:r w:rsidR="002162C5">
        <w:t xml:space="preserve">Anschließend hörten die die Teilnehmer der Delegation einen Vortrag zum Thema „Wirtschaftsstrafrecht“ am Landgericht </w:t>
      </w:r>
      <w:r w:rsidR="00BD5A20">
        <w:t>München I</w:t>
      </w:r>
      <w:r w:rsidR="002162C5">
        <w:t>. Die Dauerausstellung zur Weißen Rose „</w:t>
      </w:r>
      <w:r w:rsidR="002162C5" w:rsidRPr="00C46E2A">
        <w:t>Willkür im Namen des Deutschen Volkes"</w:t>
      </w:r>
      <w:r w:rsidR="002162C5">
        <w:t xml:space="preserve"> im Justizpalast in München fand </w:t>
      </w:r>
      <w:r w:rsidR="007420C5">
        <w:t xml:space="preserve">in Anbetracht </w:t>
      </w:r>
      <w:r w:rsidR="007420C5">
        <w:lastRenderedPageBreak/>
        <w:t>wechselhafte</w:t>
      </w:r>
      <w:r w:rsidR="00671A48">
        <w:t>r politischer</w:t>
      </w:r>
      <w:r w:rsidR="007420C5">
        <w:t xml:space="preserve"> Zeiten, großes </w:t>
      </w:r>
      <w:r w:rsidR="002162C5">
        <w:t xml:space="preserve">Interesse bei den </w:t>
      </w:r>
      <w:r w:rsidR="007420C5">
        <w:t xml:space="preserve">deutschen und </w:t>
      </w:r>
      <w:r w:rsidR="002162C5">
        <w:t>ungarischen Kollegen</w:t>
      </w:r>
      <w:r w:rsidR="007420C5">
        <w:t>.</w:t>
      </w:r>
      <w:r w:rsidR="002162C5">
        <w:t xml:space="preserve"> </w:t>
      </w:r>
      <w:r w:rsidR="007420C5">
        <w:t>Die Präsidentin des Landgerichts</w:t>
      </w:r>
      <w:r w:rsidR="002162C5">
        <w:t xml:space="preserve"> München </w:t>
      </w:r>
      <w:r w:rsidR="007420C5">
        <w:t xml:space="preserve">I </w:t>
      </w:r>
      <w:r w:rsidR="002162C5">
        <w:t xml:space="preserve">Dr. Beatrix </w:t>
      </w:r>
      <w:r w:rsidR="007420C5">
        <w:t>Schobel, stellte bei ihrer Begrüßung die Wichtigkeit des fachlichen und kulturellen Austauschs voran und verwies dabei auf die eigene Partnerschaft mit einem Budapester Gericht.</w:t>
      </w:r>
    </w:p>
    <w:p w14:paraId="186A82A5" w14:textId="77777777" w:rsidR="00674ED1" w:rsidRDefault="00674ED1" w:rsidP="00C46E2A">
      <w:pPr>
        <w:spacing w:line="360" w:lineRule="auto"/>
        <w:jc w:val="both"/>
        <w:rPr>
          <w:color w:val="FF0000"/>
        </w:rPr>
      </w:pPr>
    </w:p>
    <w:p w14:paraId="00125BD3" w14:textId="23116E3E" w:rsidR="00021405" w:rsidRPr="00704959" w:rsidRDefault="00674ED1" w:rsidP="00674ED1">
      <w:pPr>
        <w:spacing w:line="360" w:lineRule="auto"/>
        <w:jc w:val="both"/>
      </w:pPr>
      <w:r w:rsidRPr="00704959">
        <w:t>Am 10.</w:t>
      </w:r>
      <w:r w:rsidR="007420C5">
        <w:t xml:space="preserve"> Juni </w:t>
      </w:r>
      <w:r w:rsidRPr="00704959">
        <w:t xml:space="preserve">2026 </w:t>
      </w:r>
      <w:r w:rsidR="007420C5">
        <w:t>präsentierte der Leiter des Fortbildungsinstituts</w:t>
      </w:r>
      <w:r w:rsidRPr="00704959">
        <w:t xml:space="preserve"> der Bayerischen Polizei </w:t>
      </w:r>
      <w:r w:rsidR="00FF10A2">
        <w:t xml:space="preserve">Dr. Walter Buggisch </w:t>
      </w:r>
      <w:r w:rsidRPr="00704959">
        <w:t xml:space="preserve">in Ainring </w:t>
      </w:r>
      <w:r w:rsidR="00FF10A2">
        <w:t xml:space="preserve">u.a. </w:t>
      </w:r>
      <w:r w:rsidR="007420C5">
        <w:t>den</w:t>
      </w:r>
      <w:r w:rsidRPr="00704959">
        <w:t xml:space="preserve"> Übungsraum, </w:t>
      </w:r>
      <w:r w:rsidR="00FF10A2">
        <w:t>in dem die</w:t>
      </w:r>
      <w:r w:rsidRPr="00704959">
        <w:t xml:space="preserve"> Spurensicherer der bayerischen Polizei </w:t>
      </w:r>
      <w:r w:rsidR="00FF10A2">
        <w:t xml:space="preserve">an </w:t>
      </w:r>
      <w:r w:rsidRPr="00704959">
        <w:t>einem gestellten Tatort</w:t>
      </w:r>
      <w:r w:rsidR="00FF10A2">
        <w:t xml:space="preserve"> weitergebildet werden. Der Leitende Oberstaatsanwalt Dr. Beckstein, der die Delegation an diesem Tag begleitete, betonte, dass die Traunsteiner Staatsanwälte durch </w:t>
      </w:r>
      <w:r w:rsidR="006E55B9">
        <w:t xml:space="preserve">eigene </w:t>
      </w:r>
      <w:r w:rsidR="00FF10A2">
        <w:t>Fachvorträge in Ainring</w:t>
      </w:r>
      <w:r w:rsidR="00930BC0">
        <w:t xml:space="preserve"> zur Fortbildung der bayerischen Polizei</w:t>
      </w:r>
      <w:r w:rsidR="00FF10A2" w:rsidRPr="00704959">
        <w:t xml:space="preserve"> </w:t>
      </w:r>
      <w:r w:rsidR="00FF10A2">
        <w:t xml:space="preserve">beitragen. Dies wurde </w:t>
      </w:r>
      <w:r w:rsidR="00373B8F">
        <w:t xml:space="preserve">durch </w:t>
      </w:r>
      <w:r w:rsidR="00FF10A2">
        <w:t xml:space="preserve">den Vortrag der Staatsanwältin Pia Dirnberger zum Thema „Geldwäsche“ anschließend anschaulich unter Beweis gestellt. </w:t>
      </w:r>
    </w:p>
    <w:p w14:paraId="025237A7" w14:textId="77777777" w:rsidR="00FF10A2" w:rsidRDefault="00FF10A2" w:rsidP="00674ED1">
      <w:pPr>
        <w:spacing w:line="360" w:lineRule="auto"/>
        <w:jc w:val="both"/>
        <w:rPr>
          <w:color w:val="FF0000"/>
        </w:rPr>
      </w:pPr>
    </w:p>
    <w:p w14:paraId="3EC2C0A5" w14:textId="29B052C7" w:rsidR="00021405" w:rsidRDefault="00FF10A2" w:rsidP="00674ED1">
      <w:pPr>
        <w:spacing w:line="360" w:lineRule="auto"/>
        <w:jc w:val="both"/>
      </w:pPr>
      <w:r w:rsidRPr="00373B8F">
        <w:t>Im Untergrund der Alten</w:t>
      </w:r>
      <w:r w:rsidR="00021405" w:rsidRPr="00373B8F">
        <w:t xml:space="preserve"> Saline in Bad Reichenhall </w:t>
      </w:r>
      <w:r w:rsidRPr="00373B8F">
        <w:t xml:space="preserve">lernten die ungarischen </w:t>
      </w:r>
      <w:r>
        <w:t>Kollegen</w:t>
      </w:r>
      <w:r w:rsidR="00373B8F">
        <w:t>,</w:t>
      </w:r>
      <w:r>
        <w:t xml:space="preserve"> da</w:t>
      </w:r>
      <w:r w:rsidR="00373B8F">
        <w:t>s</w:t>
      </w:r>
      <w:r>
        <w:t>s</w:t>
      </w:r>
      <w:r w:rsidR="00373B8F">
        <w:t xml:space="preserve"> das</w:t>
      </w:r>
      <w:r>
        <w:t xml:space="preserve"> Salz den Grundstock für den Wohlstand der Städte im Ruperti</w:t>
      </w:r>
      <w:r w:rsidR="00373B8F">
        <w:t>w</w:t>
      </w:r>
      <w:r>
        <w:t xml:space="preserve">inkel bis nach Traunstein und Rosenheim </w:t>
      </w:r>
      <w:r w:rsidR="006E55B9">
        <w:t>schuf</w:t>
      </w:r>
      <w:r>
        <w:t xml:space="preserve">. Den Abschluss </w:t>
      </w:r>
      <w:r w:rsidR="00BD5A20">
        <w:t xml:space="preserve">des Tages </w:t>
      </w:r>
      <w:r>
        <w:t xml:space="preserve">bildete das Abendessen </w:t>
      </w:r>
      <w:r w:rsidR="004B4E5A">
        <w:t xml:space="preserve">in der Klosterwirtschaft am </w:t>
      </w:r>
      <w:proofErr w:type="spellStart"/>
      <w:r w:rsidR="004B4E5A">
        <w:t>Höglwörther</w:t>
      </w:r>
      <w:proofErr w:type="spellEnd"/>
      <w:r w:rsidR="004B4E5A">
        <w:t xml:space="preserve"> See in gemütlicher Runde. </w:t>
      </w:r>
    </w:p>
    <w:p w14:paraId="3822482F" w14:textId="77777777" w:rsidR="00021405" w:rsidRDefault="00021405" w:rsidP="00674ED1">
      <w:pPr>
        <w:spacing w:line="360" w:lineRule="auto"/>
        <w:jc w:val="both"/>
        <w:rPr>
          <w:color w:val="FF0000"/>
        </w:rPr>
      </w:pPr>
    </w:p>
    <w:p w14:paraId="7D40769A" w14:textId="5A739857" w:rsidR="00021405" w:rsidRPr="00704959" w:rsidRDefault="004B4E5A" w:rsidP="00674ED1">
      <w:pPr>
        <w:spacing w:line="360" w:lineRule="auto"/>
        <w:jc w:val="both"/>
      </w:pPr>
      <w:r>
        <w:t>Die Präsidentin des</w:t>
      </w:r>
      <w:r w:rsidR="00021405" w:rsidRPr="00704959">
        <w:t xml:space="preserve"> Landgerichts Traunstein Kesting </w:t>
      </w:r>
      <w:r>
        <w:t xml:space="preserve">verabschiedete die Gäste am heutigen Donnerstag und würdigte auch das diesjährige Treffen in Traunstein als vollen Erfolg für einen gelungenen kollegialen Austausch. </w:t>
      </w:r>
      <w:r w:rsidR="0035435A">
        <w:t xml:space="preserve">Denn um zu verstehen, wie sich Recht und Gesetz </w:t>
      </w:r>
      <w:r>
        <w:t>entwickeln und welche Gefahren drohen, lohn</w:t>
      </w:r>
      <w:r w:rsidR="00F70AA0">
        <w:t>e</w:t>
      </w:r>
      <w:r>
        <w:t xml:space="preserve"> sich ein Blick über den Tellerrand. </w:t>
      </w:r>
    </w:p>
    <w:p w14:paraId="7396E1A1" w14:textId="77777777" w:rsidR="00021405" w:rsidRPr="00704959" w:rsidRDefault="00021405" w:rsidP="00674ED1">
      <w:pPr>
        <w:spacing w:line="360" w:lineRule="auto"/>
        <w:jc w:val="both"/>
      </w:pPr>
    </w:p>
    <w:p w14:paraId="7C427AFB" w14:textId="77777777" w:rsidR="00704959" w:rsidRDefault="00704959" w:rsidP="00674ED1">
      <w:pPr>
        <w:spacing w:line="360" w:lineRule="auto"/>
        <w:jc w:val="both"/>
      </w:pPr>
    </w:p>
    <w:p w14:paraId="63D33BCF" w14:textId="5934D4C1" w:rsidR="00704959" w:rsidRDefault="00704959" w:rsidP="008434A9">
      <w:pPr>
        <w:spacing w:line="360" w:lineRule="auto"/>
        <w:rPr>
          <w:color w:val="FF0000"/>
        </w:rPr>
      </w:pPr>
    </w:p>
    <w:p w14:paraId="231A50E9" w14:textId="77777777" w:rsidR="00704959" w:rsidRDefault="00704959" w:rsidP="008434A9">
      <w:pPr>
        <w:spacing w:line="360" w:lineRule="auto"/>
      </w:pPr>
    </w:p>
    <w:p w14:paraId="582884EC" w14:textId="1AD82FCD" w:rsidR="005D31C8" w:rsidRDefault="001C78D8" w:rsidP="008434A9">
      <w:pPr>
        <w:spacing w:line="360" w:lineRule="auto"/>
      </w:pPr>
      <w:r>
        <w:t xml:space="preserve">gez. </w:t>
      </w:r>
      <w:r w:rsidR="0098065F">
        <w:t>Kempel</w:t>
      </w:r>
    </w:p>
    <w:p w14:paraId="0BE965F9" w14:textId="4C0B9193" w:rsidR="005D31C8" w:rsidRDefault="002B0CC6" w:rsidP="008434A9">
      <w:pPr>
        <w:spacing w:line="360" w:lineRule="auto"/>
      </w:pPr>
      <w:r>
        <w:t>Richter am Landgericht</w:t>
      </w:r>
    </w:p>
    <w:p w14:paraId="3AAAE51F" w14:textId="2661435D" w:rsidR="001C78D8" w:rsidRDefault="00F70AA0" w:rsidP="008434A9">
      <w:pPr>
        <w:spacing w:line="360" w:lineRule="auto"/>
      </w:pPr>
      <w:r>
        <w:t xml:space="preserve">Stellvertretender </w:t>
      </w:r>
      <w:r w:rsidR="001C78D8">
        <w:t>Pressesprecher</w:t>
      </w:r>
      <w:r w:rsidR="00373B8F">
        <w:t xml:space="preserve"> </w:t>
      </w:r>
    </w:p>
    <w:p w14:paraId="12D42F1F" w14:textId="77777777" w:rsidR="0087730D" w:rsidRDefault="0087730D" w:rsidP="008434A9">
      <w:pPr>
        <w:spacing w:line="360" w:lineRule="auto"/>
      </w:pPr>
    </w:p>
    <w:p w14:paraId="05D48C30" w14:textId="77777777" w:rsidR="0087730D" w:rsidRDefault="0087730D" w:rsidP="008434A9">
      <w:pPr>
        <w:spacing w:line="360" w:lineRule="auto"/>
      </w:pPr>
    </w:p>
    <w:p w14:paraId="69A06360" w14:textId="77777777" w:rsidR="0087730D" w:rsidRDefault="0087730D" w:rsidP="008434A9">
      <w:pPr>
        <w:spacing w:line="360" w:lineRule="auto"/>
      </w:pPr>
    </w:p>
    <w:p w14:paraId="06AE77D2" w14:textId="77777777" w:rsidR="0087730D" w:rsidRDefault="0087730D" w:rsidP="008434A9">
      <w:pPr>
        <w:spacing w:line="360" w:lineRule="auto"/>
      </w:pPr>
    </w:p>
    <w:p w14:paraId="02781DE3" w14:textId="77777777" w:rsidR="0087730D" w:rsidRDefault="0087730D" w:rsidP="0087730D">
      <w:pPr>
        <w:pStyle w:val="TextArial1115zeiligBlocksatz"/>
        <w:jc w:val="center"/>
      </w:pPr>
    </w:p>
    <w:p w14:paraId="29B51E9E" w14:textId="77777777" w:rsidR="0087730D" w:rsidRDefault="0087730D" w:rsidP="0087730D">
      <w:pPr>
        <w:pStyle w:val="TextArial1115zeiligBlocksatz"/>
        <w:jc w:val="center"/>
      </w:pPr>
    </w:p>
    <w:p w14:paraId="3821F87A" w14:textId="77777777" w:rsidR="0087730D" w:rsidRDefault="0087730D" w:rsidP="0087730D">
      <w:pPr>
        <w:pStyle w:val="TextArial1115zeiligBlocksatz"/>
        <w:jc w:val="center"/>
        <w:rPr>
          <w:noProof/>
          <w:sz w:val="4"/>
          <w:szCs w:val="4"/>
        </w:rPr>
      </w:pPr>
    </w:p>
    <w:p w14:paraId="2E11BA91" w14:textId="77777777" w:rsidR="000F76A5" w:rsidRDefault="0087730D" w:rsidP="000F76A5">
      <w:pPr>
        <w:pStyle w:val="TextArial1115zeiligBlocksatz"/>
        <w:jc w:val="center"/>
      </w:pPr>
      <w:r>
        <w:rPr>
          <w:noProof/>
          <w:sz w:val="4"/>
          <w:szCs w:val="4"/>
        </w:rPr>
        <w:drawing>
          <wp:inline distT="0" distB="0" distL="0" distR="0" wp14:anchorId="6905A581" wp14:editId="6C64608D">
            <wp:extent cx="4581525" cy="6111549"/>
            <wp:effectExtent l="0" t="0" r="0" b="3810"/>
            <wp:docPr id="4799116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093" cy="612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A67" w14:textId="42ADE032" w:rsidR="000F76A5" w:rsidRPr="00660DE2" w:rsidRDefault="0087730D" w:rsidP="000F76A5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(von links: Vorsitzende Richterin des </w:t>
      </w:r>
      <w:proofErr w:type="spellStart"/>
      <w:r w:rsidRPr="00660DE2">
        <w:rPr>
          <w:sz w:val="20"/>
          <w:szCs w:val="20"/>
        </w:rPr>
        <w:t>Komitatsgerichts</w:t>
      </w:r>
      <w:proofErr w:type="spellEnd"/>
      <w:r w:rsidRPr="00660DE2">
        <w:rPr>
          <w:sz w:val="20"/>
          <w:szCs w:val="20"/>
        </w:rPr>
        <w:t xml:space="preserve"> </w:t>
      </w:r>
      <w:proofErr w:type="spellStart"/>
      <w:r w:rsidRPr="00660DE2">
        <w:rPr>
          <w:sz w:val="20"/>
          <w:szCs w:val="20"/>
        </w:rPr>
        <w:t>Kaposvár</w:t>
      </w:r>
      <w:proofErr w:type="spellEnd"/>
      <w:r w:rsidRPr="00660DE2">
        <w:rPr>
          <w:sz w:val="20"/>
          <w:szCs w:val="20"/>
        </w:rPr>
        <w:t xml:space="preserve"> </w:t>
      </w:r>
    </w:p>
    <w:p w14:paraId="170AD779" w14:textId="10152D79" w:rsidR="0087730D" w:rsidRPr="00660DE2" w:rsidRDefault="000F76A5" w:rsidP="000F76A5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>Dr.</w:t>
      </w: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 xml:space="preserve">Gertrúd Matusik, Präsident des </w:t>
      </w:r>
      <w:proofErr w:type="spellStart"/>
      <w:r w:rsidR="0087730D" w:rsidRPr="00660DE2">
        <w:rPr>
          <w:sz w:val="20"/>
          <w:szCs w:val="20"/>
        </w:rPr>
        <w:t>Komitatsgerichts</w:t>
      </w:r>
      <w:proofErr w:type="spellEnd"/>
      <w:r w:rsidR="0087730D" w:rsidRPr="00660DE2">
        <w:rPr>
          <w:sz w:val="20"/>
          <w:szCs w:val="20"/>
        </w:rPr>
        <w:t xml:space="preserve"> </w:t>
      </w:r>
      <w:proofErr w:type="spellStart"/>
      <w:r w:rsidR="0087730D" w:rsidRPr="00660DE2">
        <w:rPr>
          <w:sz w:val="20"/>
          <w:szCs w:val="20"/>
        </w:rPr>
        <w:t>Kaposvár</w:t>
      </w:r>
      <w:proofErr w:type="spellEnd"/>
    </w:p>
    <w:p w14:paraId="4EF5EAC5" w14:textId="75D258D1" w:rsidR="00660DE2" w:rsidRPr="00660DE2" w:rsidRDefault="000F76A5" w:rsidP="000F76A5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>Dr.</w:t>
      </w:r>
      <w:r w:rsidRPr="00660DE2">
        <w:rPr>
          <w:sz w:val="20"/>
          <w:szCs w:val="20"/>
        </w:rPr>
        <w:t xml:space="preserve"> </w:t>
      </w:r>
      <w:proofErr w:type="spellStart"/>
      <w:r w:rsidR="0087730D" w:rsidRPr="00660DE2">
        <w:rPr>
          <w:sz w:val="20"/>
          <w:szCs w:val="20"/>
        </w:rPr>
        <w:t>Péter</w:t>
      </w:r>
      <w:proofErr w:type="spellEnd"/>
      <w:r w:rsidR="0087730D" w:rsidRPr="00660DE2">
        <w:rPr>
          <w:sz w:val="20"/>
          <w:szCs w:val="20"/>
        </w:rPr>
        <w:t xml:space="preserve"> Király, Präsidentin des Landgerichts Traunstein Anja </w:t>
      </w:r>
    </w:p>
    <w:p w14:paraId="12A2F82F" w14:textId="77777777" w:rsidR="00660DE2" w:rsidRPr="00660DE2" w:rsidRDefault="00660DE2" w:rsidP="000F76A5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>Kesting,</w:t>
      </w:r>
      <w:r w:rsidR="000F76A5" w:rsidRPr="00660DE2">
        <w:rPr>
          <w:sz w:val="20"/>
          <w:szCs w:val="20"/>
        </w:rPr>
        <w:t xml:space="preserve"> Geschäftsleiter des Landgerichts Traunstein Albert </w:t>
      </w:r>
    </w:p>
    <w:p w14:paraId="3BA37896" w14:textId="3A336FE8" w:rsidR="00660DE2" w:rsidRPr="00660DE2" w:rsidRDefault="00660DE2" w:rsidP="00660DE2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</w:t>
      </w:r>
      <w:r w:rsidR="000F76A5" w:rsidRPr="00660DE2">
        <w:rPr>
          <w:sz w:val="20"/>
          <w:szCs w:val="20"/>
        </w:rPr>
        <w:t>Dirnberger,</w:t>
      </w:r>
      <w:r w:rsidRPr="00660DE2">
        <w:rPr>
          <w:sz w:val="20"/>
          <w:szCs w:val="20"/>
        </w:rPr>
        <w:t xml:space="preserve"> Leiterin der ungarischen Richterakademie Budapest </w:t>
      </w:r>
    </w:p>
    <w:p w14:paraId="44D9B16B" w14:textId="77777777" w:rsidR="00660DE2" w:rsidRPr="00660DE2" w:rsidRDefault="00660DE2" w:rsidP="00660DE2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Dr. Evá Haynal, </w:t>
      </w:r>
      <w:r w:rsidR="0087730D" w:rsidRPr="00660DE2">
        <w:rPr>
          <w:sz w:val="20"/>
          <w:szCs w:val="20"/>
        </w:rPr>
        <w:t>Richterin</w:t>
      </w: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 xml:space="preserve">am Amtsgericht </w:t>
      </w:r>
      <w:proofErr w:type="spellStart"/>
      <w:r w:rsidRPr="00660DE2">
        <w:rPr>
          <w:sz w:val="20"/>
          <w:szCs w:val="20"/>
        </w:rPr>
        <w:t>Kaposvár</w:t>
      </w:r>
      <w:proofErr w:type="spellEnd"/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 xml:space="preserve">Dr. Victoria </w:t>
      </w:r>
    </w:p>
    <w:p w14:paraId="435352B2" w14:textId="6E781C3A" w:rsidR="0087730D" w:rsidRPr="00660DE2" w:rsidRDefault="00660DE2" w:rsidP="00660DE2">
      <w:pPr>
        <w:pStyle w:val="TextArial1115zeiligBlocksatz"/>
        <w:ind w:firstLine="708"/>
        <w:rPr>
          <w:sz w:val="20"/>
          <w:szCs w:val="20"/>
        </w:rPr>
      </w:pPr>
      <w:r w:rsidRPr="00660DE2">
        <w:rPr>
          <w:sz w:val="20"/>
          <w:szCs w:val="20"/>
        </w:rPr>
        <w:t xml:space="preserve"> </w:t>
      </w:r>
      <w:r w:rsidR="0087730D" w:rsidRPr="00660DE2">
        <w:rPr>
          <w:sz w:val="20"/>
          <w:szCs w:val="20"/>
        </w:rPr>
        <w:t>Kern</w:t>
      </w:r>
      <w:r w:rsidR="000F76A5" w:rsidRPr="00660DE2">
        <w:rPr>
          <w:sz w:val="20"/>
          <w:szCs w:val="20"/>
        </w:rPr>
        <w:t>)</w:t>
      </w:r>
    </w:p>
    <w:sectPr w:rsidR="0087730D" w:rsidRPr="00660DE2" w:rsidSect="00506ED2">
      <w:headerReference w:type="default" r:id="rId11"/>
      <w:footerReference w:type="first" r:id="rId12"/>
      <w:pgSz w:w="11906" w:h="16838" w:code="9"/>
      <w:pgMar w:top="397" w:right="2495" w:bottom="1134" w:left="136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609A" w14:textId="77777777" w:rsidR="00024B51" w:rsidRDefault="00024B51">
      <w:r>
        <w:separator/>
      </w:r>
    </w:p>
  </w:endnote>
  <w:endnote w:type="continuationSeparator" w:id="0">
    <w:p w14:paraId="5101C5C5" w14:textId="77777777" w:rsidR="00024B51" w:rsidRDefault="0002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7A30" w14:textId="77777777" w:rsidR="00F9339E" w:rsidRPr="00BE692E" w:rsidRDefault="00F9339E" w:rsidP="00835BF9">
    <w:pPr>
      <w:rPr>
        <w:color w:val="000000"/>
        <w:sz w:val="14"/>
        <w:szCs w:val="14"/>
      </w:rPr>
    </w:pPr>
  </w:p>
  <w:tbl>
    <w:tblPr>
      <w:tblW w:w="102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0"/>
      <w:gridCol w:w="2663"/>
      <w:gridCol w:w="3097"/>
      <w:gridCol w:w="2040"/>
    </w:tblGrid>
    <w:tr w:rsidR="00F9339E" w:rsidRPr="00E06FEB" w14:paraId="6B628617" w14:textId="77777777" w:rsidTr="005D7653">
      <w:tc>
        <w:tcPr>
          <w:tcW w:w="2470" w:type="dxa"/>
        </w:tcPr>
        <w:p w14:paraId="12914993" w14:textId="77777777" w:rsidR="00F9339E" w:rsidRPr="00EA6886" w:rsidRDefault="008434A9" w:rsidP="005D7653">
          <w:pPr>
            <w:pStyle w:val="FussStmJ"/>
            <w:rPr>
              <w:b/>
              <w:bCs/>
              <w:color w:val="000000"/>
              <w:sz w:val="14"/>
              <w:szCs w:val="14"/>
            </w:rPr>
          </w:pPr>
          <w:bookmarkStart w:id="2" w:name="tab1a"/>
          <w:bookmarkEnd w:id="2"/>
          <w:r>
            <w:rPr>
              <w:b/>
              <w:bCs/>
              <w:color w:val="000000"/>
              <w:sz w:val="14"/>
              <w:szCs w:val="14"/>
            </w:rPr>
            <w:t>Hausanschrift</w:t>
          </w:r>
        </w:p>
        <w:p w14:paraId="6AC0407A" w14:textId="77777777" w:rsidR="008434A9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Cs/>
              <w:color w:val="000000"/>
              <w:sz w:val="14"/>
              <w:szCs w:val="14"/>
            </w:rPr>
          </w:pPr>
          <w:bookmarkStart w:id="3" w:name="tab1b"/>
          <w:bookmarkEnd w:id="3"/>
          <w:r>
            <w:rPr>
              <w:bCs/>
              <w:color w:val="000000"/>
              <w:sz w:val="14"/>
              <w:szCs w:val="14"/>
            </w:rPr>
            <w:t>Herzog-Otto-Str. 1</w:t>
          </w:r>
        </w:p>
        <w:p w14:paraId="6C766B60" w14:textId="77777777" w:rsidR="00F9339E" w:rsidRPr="00EA6886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83278 Traunstein</w:t>
          </w:r>
        </w:p>
      </w:tc>
      <w:tc>
        <w:tcPr>
          <w:tcW w:w="2663" w:type="dxa"/>
        </w:tcPr>
        <w:p w14:paraId="160220AA" w14:textId="77777777" w:rsidR="00F9339E" w:rsidRPr="00EA6886" w:rsidRDefault="008434A9" w:rsidP="005D7653">
          <w:pPr>
            <w:rPr>
              <w:b/>
              <w:bCs/>
              <w:color w:val="000000"/>
              <w:sz w:val="14"/>
              <w:szCs w:val="14"/>
            </w:rPr>
          </w:pPr>
          <w:bookmarkStart w:id="4" w:name="tab2a"/>
          <w:bookmarkEnd w:id="4"/>
          <w:r>
            <w:rPr>
              <w:b/>
              <w:bCs/>
              <w:color w:val="000000"/>
              <w:sz w:val="14"/>
              <w:szCs w:val="14"/>
            </w:rPr>
            <w:t>Geschäftszeiten</w:t>
          </w:r>
        </w:p>
        <w:p w14:paraId="6AABC4B0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bookmarkStart w:id="5" w:name="tab2b"/>
          <w:bookmarkEnd w:id="5"/>
          <w:r>
            <w:rPr>
              <w:bCs/>
              <w:color w:val="000000"/>
              <w:sz w:val="14"/>
              <w:szCs w:val="14"/>
            </w:rPr>
            <w:t xml:space="preserve">Wegen der Gleitzeit erreichen Sie </w:t>
          </w:r>
        </w:p>
        <w:p w14:paraId="5AA59736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die Mitarbeiter:</w:t>
          </w:r>
        </w:p>
        <w:p w14:paraId="1DA6D573" w14:textId="77777777" w:rsidR="00F9339E" w:rsidRPr="00EA6886" w:rsidRDefault="008434A9" w:rsidP="005D7653">
          <w:pPr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Mo - Fr: 08:00 - 12:00 Uhr</w:t>
          </w:r>
        </w:p>
      </w:tc>
      <w:tc>
        <w:tcPr>
          <w:tcW w:w="3097" w:type="dxa"/>
        </w:tcPr>
        <w:p w14:paraId="245766A9" w14:textId="77777777" w:rsidR="00F9339E" w:rsidRPr="00EA6886" w:rsidRDefault="008434A9" w:rsidP="005D7653">
          <w:pPr>
            <w:rPr>
              <w:b/>
              <w:bCs/>
              <w:color w:val="000000"/>
              <w:sz w:val="14"/>
              <w:szCs w:val="14"/>
            </w:rPr>
          </w:pPr>
          <w:bookmarkStart w:id="6" w:name="tab3a"/>
          <w:bookmarkEnd w:id="6"/>
          <w:r>
            <w:rPr>
              <w:b/>
              <w:bCs/>
              <w:color w:val="000000"/>
              <w:sz w:val="14"/>
              <w:szCs w:val="14"/>
            </w:rPr>
            <w:t>Telefon und Telefax</w:t>
          </w:r>
        </w:p>
        <w:p w14:paraId="480A189E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bookmarkStart w:id="7" w:name="tab3b"/>
          <w:bookmarkEnd w:id="7"/>
          <w:r>
            <w:rPr>
              <w:bCs/>
              <w:color w:val="000000"/>
              <w:sz w:val="14"/>
              <w:szCs w:val="14"/>
            </w:rPr>
            <w:t>0861 56-0</w:t>
          </w:r>
        </w:p>
        <w:p w14:paraId="465F3A38" w14:textId="54BC7373" w:rsidR="00F9339E" w:rsidRPr="00EA6886" w:rsidRDefault="008434A9" w:rsidP="005D7653">
          <w:pPr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0861 56-</w:t>
          </w:r>
          <w:r w:rsidR="0098065F">
            <w:rPr>
              <w:bCs/>
              <w:color w:val="000000"/>
              <w:sz w:val="14"/>
              <w:szCs w:val="14"/>
            </w:rPr>
            <w:t>286</w:t>
          </w:r>
        </w:p>
      </w:tc>
      <w:tc>
        <w:tcPr>
          <w:tcW w:w="2040" w:type="dxa"/>
        </w:tcPr>
        <w:p w14:paraId="4E49417F" w14:textId="77777777" w:rsidR="00F9339E" w:rsidRPr="00EA6886" w:rsidRDefault="00F9339E" w:rsidP="005D7653">
          <w:pPr>
            <w:rPr>
              <w:color w:val="000000"/>
              <w:sz w:val="14"/>
              <w:szCs w:val="14"/>
              <w:u w:val="single"/>
            </w:rPr>
          </w:pPr>
        </w:p>
      </w:tc>
    </w:tr>
    <w:tr w:rsidR="00680977" w:rsidRPr="00680977" w14:paraId="45F63ED7" w14:textId="77777777" w:rsidTr="005D7653">
      <w:tc>
        <w:tcPr>
          <w:tcW w:w="2470" w:type="dxa"/>
        </w:tcPr>
        <w:p w14:paraId="3DBF2235" w14:textId="77777777" w:rsidR="00680977" w:rsidRPr="00680977" w:rsidRDefault="00680977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/>
              <w:bCs/>
              <w:color w:val="000000"/>
              <w:sz w:val="2"/>
              <w:szCs w:val="2"/>
            </w:rPr>
          </w:pPr>
        </w:p>
      </w:tc>
      <w:tc>
        <w:tcPr>
          <w:tcW w:w="2663" w:type="dxa"/>
        </w:tcPr>
        <w:p w14:paraId="68901CD9" w14:textId="77777777" w:rsidR="00680977" w:rsidRPr="00680977" w:rsidRDefault="00680977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/>
              <w:bCs/>
              <w:color w:val="000000"/>
              <w:sz w:val="2"/>
              <w:szCs w:val="2"/>
            </w:rPr>
          </w:pPr>
        </w:p>
      </w:tc>
      <w:tc>
        <w:tcPr>
          <w:tcW w:w="3097" w:type="dxa"/>
        </w:tcPr>
        <w:p w14:paraId="7BAFA99D" w14:textId="77777777" w:rsidR="00680977" w:rsidRPr="00680977" w:rsidRDefault="00680977" w:rsidP="005D7653">
          <w:pPr>
            <w:rPr>
              <w:b/>
              <w:bCs/>
              <w:color w:val="000000"/>
              <w:sz w:val="2"/>
              <w:szCs w:val="2"/>
            </w:rPr>
          </w:pPr>
        </w:p>
      </w:tc>
      <w:tc>
        <w:tcPr>
          <w:tcW w:w="2040" w:type="dxa"/>
        </w:tcPr>
        <w:p w14:paraId="1D0AE4BF" w14:textId="77777777" w:rsidR="00680977" w:rsidRPr="00680977" w:rsidRDefault="00680977" w:rsidP="005D7653">
          <w:pPr>
            <w:rPr>
              <w:color w:val="000000"/>
              <w:sz w:val="2"/>
              <w:szCs w:val="2"/>
              <w:u w:val="single"/>
            </w:rPr>
          </w:pPr>
        </w:p>
      </w:tc>
    </w:tr>
    <w:tr w:rsidR="00F9339E" w:rsidRPr="00E06FEB" w14:paraId="40D956F5" w14:textId="77777777" w:rsidTr="005D7653">
      <w:tc>
        <w:tcPr>
          <w:tcW w:w="2470" w:type="dxa"/>
        </w:tcPr>
        <w:p w14:paraId="12D59493" w14:textId="77777777" w:rsidR="00F9339E" w:rsidRPr="00EA6886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/>
              <w:bCs/>
              <w:color w:val="000000"/>
              <w:sz w:val="14"/>
              <w:szCs w:val="14"/>
            </w:rPr>
          </w:pPr>
          <w:bookmarkStart w:id="8" w:name="tab4a"/>
          <w:bookmarkEnd w:id="8"/>
          <w:r>
            <w:rPr>
              <w:b/>
              <w:bCs/>
              <w:color w:val="000000"/>
              <w:sz w:val="14"/>
              <w:szCs w:val="14"/>
            </w:rPr>
            <w:t>Öffentliche Verkehrsmittel</w:t>
          </w:r>
        </w:p>
        <w:p w14:paraId="26B19668" w14:textId="77777777" w:rsidR="00F9339E" w:rsidRPr="00EA6886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Cs/>
              <w:color w:val="000000"/>
              <w:sz w:val="14"/>
              <w:szCs w:val="14"/>
            </w:rPr>
          </w:pPr>
          <w:bookmarkStart w:id="9" w:name="tab4b"/>
          <w:bookmarkEnd w:id="9"/>
          <w:r>
            <w:rPr>
              <w:bCs/>
              <w:color w:val="000000"/>
              <w:sz w:val="14"/>
              <w:szCs w:val="14"/>
            </w:rPr>
            <w:t>DB-Bahnhof</w:t>
          </w:r>
        </w:p>
      </w:tc>
      <w:tc>
        <w:tcPr>
          <w:tcW w:w="2663" w:type="dxa"/>
        </w:tcPr>
        <w:p w14:paraId="05E3E6CE" w14:textId="77777777" w:rsidR="00F9339E" w:rsidRPr="00EA6886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/>
              <w:bCs/>
              <w:color w:val="000000"/>
              <w:sz w:val="14"/>
              <w:szCs w:val="14"/>
            </w:rPr>
          </w:pPr>
          <w:bookmarkStart w:id="10" w:name="tab5a"/>
          <w:bookmarkEnd w:id="10"/>
          <w:r>
            <w:rPr>
              <w:b/>
              <w:bCs/>
              <w:color w:val="000000"/>
              <w:sz w:val="14"/>
              <w:szCs w:val="14"/>
            </w:rPr>
            <w:t>Internet und E-Mail</w:t>
          </w:r>
        </w:p>
        <w:p w14:paraId="131A2A35" w14:textId="77777777" w:rsidR="008434A9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Cs/>
              <w:color w:val="000000"/>
              <w:sz w:val="14"/>
              <w:szCs w:val="14"/>
            </w:rPr>
          </w:pPr>
          <w:bookmarkStart w:id="11" w:name="tab5b"/>
          <w:bookmarkEnd w:id="11"/>
          <w:r>
            <w:rPr>
              <w:bCs/>
              <w:color w:val="000000"/>
              <w:sz w:val="14"/>
              <w:szCs w:val="14"/>
            </w:rPr>
            <w:t>www.justiz.bayern.de/gericht/lg/ts/</w:t>
          </w:r>
        </w:p>
        <w:p w14:paraId="6DD1DDA9" w14:textId="77777777" w:rsidR="00F9339E" w:rsidRPr="00EA6886" w:rsidRDefault="008434A9" w:rsidP="005D7653">
          <w:pPr>
            <w:tabs>
              <w:tab w:val="center" w:pos="4536"/>
              <w:tab w:val="left" w:pos="6480"/>
              <w:tab w:val="right" w:pos="9072"/>
            </w:tabs>
            <w:ind w:right="62"/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poststelle@lg-ts.bayern.de</w:t>
          </w:r>
        </w:p>
      </w:tc>
      <w:tc>
        <w:tcPr>
          <w:tcW w:w="3097" w:type="dxa"/>
        </w:tcPr>
        <w:p w14:paraId="27319541" w14:textId="77777777" w:rsidR="00F9339E" w:rsidRPr="00EA6886" w:rsidRDefault="008434A9" w:rsidP="005D7653">
          <w:pPr>
            <w:rPr>
              <w:b/>
              <w:bCs/>
              <w:color w:val="000000"/>
              <w:sz w:val="14"/>
              <w:szCs w:val="14"/>
            </w:rPr>
          </w:pPr>
          <w:bookmarkStart w:id="12" w:name="tab6a"/>
          <w:bookmarkEnd w:id="12"/>
          <w:r>
            <w:rPr>
              <w:b/>
              <w:bCs/>
              <w:color w:val="000000"/>
              <w:sz w:val="14"/>
              <w:szCs w:val="14"/>
            </w:rPr>
            <w:t>Datenschutzhinweis:</w:t>
          </w:r>
        </w:p>
        <w:p w14:paraId="3437B801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bookmarkStart w:id="13" w:name="tab6b"/>
          <w:bookmarkEnd w:id="13"/>
          <w:r>
            <w:rPr>
              <w:bCs/>
              <w:color w:val="000000"/>
              <w:sz w:val="14"/>
              <w:szCs w:val="14"/>
            </w:rPr>
            <w:t xml:space="preserve">Informationen zum Datenschutz </w:t>
          </w:r>
        </w:p>
        <w:p w14:paraId="589ACC96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finden Sie unter:</w:t>
          </w:r>
        </w:p>
        <w:p w14:paraId="45A7889C" w14:textId="77777777" w:rsidR="008434A9" w:rsidRDefault="008434A9" w:rsidP="005D7653">
          <w:pPr>
            <w:rPr>
              <w:bCs/>
              <w:color w:val="000000"/>
              <w:sz w:val="14"/>
              <w:szCs w:val="14"/>
            </w:rPr>
          </w:pPr>
          <w:r>
            <w:rPr>
              <w:bCs/>
              <w:color w:val="000000"/>
              <w:sz w:val="14"/>
              <w:szCs w:val="14"/>
            </w:rPr>
            <w:t>www.justiz.bayern.de/gerichte-und-</w:t>
          </w:r>
        </w:p>
        <w:p w14:paraId="473094A6" w14:textId="77777777" w:rsidR="00F9339E" w:rsidRPr="00EA6886" w:rsidRDefault="008434A9" w:rsidP="005D7653">
          <w:pPr>
            <w:rPr>
              <w:bCs/>
              <w:color w:val="000000"/>
              <w:sz w:val="14"/>
              <w:szCs w:val="14"/>
            </w:rPr>
          </w:pPr>
          <w:proofErr w:type="spellStart"/>
          <w:r>
            <w:rPr>
              <w:bCs/>
              <w:color w:val="000000"/>
              <w:sz w:val="14"/>
              <w:szCs w:val="14"/>
            </w:rPr>
            <w:t>behoerden</w:t>
          </w:r>
          <w:proofErr w:type="spellEnd"/>
          <w:r>
            <w:rPr>
              <w:bCs/>
              <w:color w:val="000000"/>
              <w:sz w:val="14"/>
              <w:szCs w:val="14"/>
            </w:rPr>
            <w:t>/</w:t>
          </w:r>
          <w:proofErr w:type="spellStart"/>
          <w:r>
            <w:rPr>
              <w:bCs/>
              <w:color w:val="000000"/>
              <w:sz w:val="14"/>
              <w:szCs w:val="14"/>
            </w:rPr>
            <w:t>landgericht</w:t>
          </w:r>
          <w:proofErr w:type="spellEnd"/>
          <w:r>
            <w:rPr>
              <w:bCs/>
              <w:color w:val="000000"/>
              <w:sz w:val="14"/>
              <w:szCs w:val="14"/>
            </w:rPr>
            <w:t>/</w:t>
          </w:r>
          <w:proofErr w:type="spellStart"/>
          <w:r>
            <w:rPr>
              <w:bCs/>
              <w:color w:val="000000"/>
              <w:sz w:val="14"/>
              <w:szCs w:val="14"/>
            </w:rPr>
            <w:t>traunstein</w:t>
          </w:r>
          <w:proofErr w:type="spellEnd"/>
        </w:p>
      </w:tc>
      <w:tc>
        <w:tcPr>
          <w:tcW w:w="2040" w:type="dxa"/>
        </w:tcPr>
        <w:p w14:paraId="2DC38530" w14:textId="77777777" w:rsidR="00F9339E" w:rsidRPr="00EA6886" w:rsidRDefault="00F9339E" w:rsidP="005D7653">
          <w:pPr>
            <w:rPr>
              <w:color w:val="000000"/>
              <w:sz w:val="14"/>
              <w:szCs w:val="14"/>
              <w:u w:val="single"/>
            </w:rPr>
          </w:pPr>
        </w:p>
      </w:tc>
    </w:tr>
  </w:tbl>
  <w:p w14:paraId="6CE9CAA5" w14:textId="77777777" w:rsidR="00F14089" w:rsidRPr="00F14089" w:rsidRDefault="00F14089">
    <w:pPr>
      <w:rPr>
        <w:sz w:val="6"/>
        <w:szCs w:val="6"/>
      </w:rPr>
    </w:pPr>
  </w:p>
  <w:tbl>
    <w:tblPr>
      <w:tblW w:w="102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30"/>
      <w:gridCol w:w="2040"/>
    </w:tblGrid>
    <w:tr w:rsidR="00F14089" w:rsidRPr="00EA6886" w14:paraId="03B33A36" w14:textId="77777777" w:rsidTr="00537791">
      <w:tc>
        <w:tcPr>
          <w:tcW w:w="8230" w:type="dxa"/>
        </w:tcPr>
        <w:p w14:paraId="60100D62" w14:textId="77777777" w:rsidR="00F14089" w:rsidRPr="00EA6886" w:rsidRDefault="008434A9" w:rsidP="00F14089">
          <w:pPr>
            <w:jc w:val="right"/>
            <w:rPr>
              <w:b/>
              <w:bCs/>
              <w:color w:val="000000"/>
              <w:sz w:val="14"/>
              <w:szCs w:val="14"/>
            </w:rPr>
          </w:pPr>
          <w:bookmarkStart w:id="14" w:name="zugang"/>
          <w:bookmarkEnd w:id="14"/>
          <w:r>
            <w:rPr>
              <w:b/>
              <w:bCs/>
              <w:color w:val="000000"/>
              <w:sz w:val="14"/>
              <w:szCs w:val="14"/>
            </w:rPr>
            <w:t>E-Mail-Adressen eröffnen keinen Zugang für Erklärungen in Rechtssachen</w:t>
          </w:r>
        </w:p>
      </w:tc>
      <w:tc>
        <w:tcPr>
          <w:tcW w:w="2040" w:type="dxa"/>
        </w:tcPr>
        <w:p w14:paraId="62DE42BD" w14:textId="77777777" w:rsidR="00F14089" w:rsidRPr="00EA6886" w:rsidRDefault="00F14089" w:rsidP="005D7653">
          <w:pPr>
            <w:rPr>
              <w:color w:val="000000"/>
              <w:sz w:val="14"/>
              <w:szCs w:val="14"/>
              <w:u w:val="single"/>
            </w:rPr>
          </w:pPr>
        </w:p>
      </w:tc>
    </w:tr>
  </w:tbl>
  <w:p w14:paraId="0DCCCC2A" w14:textId="77777777" w:rsidR="00F9339E" w:rsidRPr="00E06FEB" w:rsidRDefault="00F9339E" w:rsidP="00985ACB">
    <w:pPr>
      <w:pStyle w:val="Fuzeile"/>
      <w:rPr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9A25" w14:textId="77777777" w:rsidR="00024B51" w:rsidRDefault="00024B51">
      <w:r>
        <w:separator/>
      </w:r>
    </w:p>
  </w:footnote>
  <w:footnote w:type="continuationSeparator" w:id="0">
    <w:p w14:paraId="256EC0A9" w14:textId="77777777" w:rsidR="00024B51" w:rsidRDefault="0002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C2FF" w14:textId="77777777" w:rsidR="00F9339E" w:rsidRPr="00C0471D" w:rsidRDefault="00F9339E" w:rsidP="00AD5E1C">
    <w:pPr>
      <w:pStyle w:val="Kopfzeile"/>
      <w:rPr>
        <w:snapToGrid w:val="0"/>
        <w:color w:val="000000"/>
        <w:sz w:val="28"/>
        <w:szCs w:val="28"/>
      </w:rPr>
    </w:pPr>
  </w:p>
  <w:p w14:paraId="7C1B7CB0" w14:textId="77777777" w:rsidR="00F9339E" w:rsidRPr="00C82035" w:rsidRDefault="00F9339E" w:rsidP="003F2044">
    <w:pPr>
      <w:pStyle w:val="Kopfzeile"/>
      <w:jc w:val="center"/>
      <w:rPr>
        <w:snapToGrid w:val="0"/>
      </w:rPr>
    </w:pPr>
    <w:r w:rsidRPr="00C82035">
      <w:rPr>
        <w:snapToGrid w:val="0"/>
      </w:rPr>
      <w:t xml:space="preserve">- </w:t>
    </w:r>
    <w:r w:rsidRPr="00C82035">
      <w:rPr>
        <w:snapToGrid w:val="0"/>
      </w:rPr>
      <w:fldChar w:fldCharType="begin"/>
    </w:r>
    <w:r w:rsidRPr="00C82035">
      <w:rPr>
        <w:snapToGrid w:val="0"/>
      </w:rPr>
      <w:instrText xml:space="preserve"> PAGE </w:instrText>
    </w:r>
    <w:r w:rsidRPr="00C82035">
      <w:rPr>
        <w:snapToGrid w:val="0"/>
      </w:rPr>
      <w:fldChar w:fldCharType="separate"/>
    </w:r>
    <w:r>
      <w:rPr>
        <w:noProof/>
        <w:snapToGrid w:val="0"/>
      </w:rPr>
      <w:t>2</w:t>
    </w:r>
    <w:r w:rsidRPr="00C82035">
      <w:rPr>
        <w:snapToGrid w:val="0"/>
      </w:rPr>
      <w:fldChar w:fldCharType="end"/>
    </w:r>
    <w:r w:rsidRPr="00C82035">
      <w:rPr>
        <w:snapToGrid w:val="0"/>
      </w:rPr>
      <w:t xml:space="preserve"> -</w:t>
    </w:r>
  </w:p>
  <w:p w14:paraId="458B53CA" w14:textId="77777777" w:rsidR="00F9339E" w:rsidRPr="00C82035" w:rsidRDefault="00F9339E" w:rsidP="00C82035">
    <w:pPr>
      <w:pStyle w:val="Kopfzeile"/>
    </w:pPr>
  </w:p>
  <w:p w14:paraId="0D1A3CEF" w14:textId="77777777" w:rsidR="00F9339E" w:rsidRPr="00C82035" w:rsidRDefault="00F933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83D"/>
    <w:multiLevelType w:val="hybridMultilevel"/>
    <w:tmpl w:val="C1F20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455A1"/>
    <w:multiLevelType w:val="multilevel"/>
    <w:tmpl w:val="C92E6732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924" w:hanging="357"/>
      </w:pPr>
      <w:rPr>
        <w:rFonts w:ascii="Arial" w:hAnsi="Arial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361" w:hanging="43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61143575">
    <w:abstractNumId w:val="0"/>
  </w:num>
  <w:num w:numId="2" w16cid:durableId="157123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A9"/>
    <w:rsid w:val="00015296"/>
    <w:rsid w:val="00021405"/>
    <w:rsid w:val="00023145"/>
    <w:rsid w:val="00024B51"/>
    <w:rsid w:val="00026922"/>
    <w:rsid w:val="00027EA8"/>
    <w:rsid w:val="000332B4"/>
    <w:rsid w:val="00035D77"/>
    <w:rsid w:val="00046D6F"/>
    <w:rsid w:val="000602CC"/>
    <w:rsid w:val="00062D98"/>
    <w:rsid w:val="00086415"/>
    <w:rsid w:val="00097EA7"/>
    <w:rsid w:val="000A61AF"/>
    <w:rsid w:val="000A7A7F"/>
    <w:rsid w:val="000D2F2B"/>
    <w:rsid w:val="000E0E24"/>
    <w:rsid w:val="000E65F5"/>
    <w:rsid w:val="000F76A5"/>
    <w:rsid w:val="00101140"/>
    <w:rsid w:val="001055E2"/>
    <w:rsid w:val="001127F2"/>
    <w:rsid w:val="001156E8"/>
    <w:rsid w:val="001174A8"/>
    <w:rsid w:val="0012293B"/>
    <w:rsid w:val="001350D6"/>
    <w:rsid w:val="00141F57"/>
    <w:rsid w:val="00145B61"/>
    <w:rsid w:val="00152AF6"/>
    <w:rsid w:val="00153A44"/>
    <w:rsid w:val="00176EB9"/>
    <w:rsid w:val="0017788E"/>
    <w:rsid w:val="00177920"/>
    <w:rsid w:val="001824DF"/>
    <w:rsid w:val="00184ADE"/>
    <w:rsid w:val="001A1848"/>
    <w:rsid w:val="001A27B5"/>
    <w:rsid w:val="001A4DDB"/>
    <w:rsid w:val="001C78D8"/>
    <w:rsid w:val="001D14F2"/>
    <w:rsid w:val="001D653F"/>
    <w:rsid w:val="001E534D"/>
    <w:rsid w:val="001F1618"/>
    <w:rsid w:val="00201551"/>
    <w:rsid w:val="00210CA7"/>
    <w:rsid w:val="002162C5"/>
    <w:rsid w:val="00217F99"/>
    <w:rsid w:val="00230BE4"/>
    <w:rsid w:val="002331E0"/>
    <w:rsid w:val="0024069B"/>
    <w:rsid w:val="00244A40"/>
    <w:rsid w:val="002521CA"/>
    <w:rsid w:val="00255C24"/>
    <w:rsid w:val="00257827"/>
    <w:rsid w:val="002609A1"/>
    <w:rsid w:val="0026276F"/>
    <w:rsid w:val="00284B70"/>
    <w:rsid w:val="002A27AB"/>
    <w:rsid w:val="002A6B37"/>
    <w:rsid w:val="002B0CC6"/>
    <w:rsid w:val="002C2957"/>
    <w:rsid w:val="002C2D85"/>
    <w:rsid w:val="002C5343"/>
    <w:rsid w:val="002E395C"/>
    <w:rsid w:val="002F1C69"/>
    <w:rsid w:val="002F36FD"/>
    <w:rsid w:val="0031105D"/>
    <w:rsid w:val="00334B45"/>
    <w:rsid w:val="00334E52"/>
    <w:rsid w:val="00334E8B"/>
    <w:rsid w:val="003370C7"/>
    <w:rsid w:val="0035435A"/>
    <w:rsid w:val="00357A65"/>
    <w:rsid w:val="00364426"/>
    <w:rsid w:val="003652D6"/>
    <w:rsid w:val="0037298D"/>
    <w:rsid w:val="00373B8F"/>
    <w:rsid w:val="00396AB8"/>
    <w:rsid w:val="003A659F"/>
    <w:rsid w:val="003A7936"/>
    <w:rsid w:val="003B2DB1"/>
    <w:rsid w:val="003B5D35"/>
    <w:rsid w:val="003D1561"/>
    <w:rsid w:val="003F2044"/>
    <w:rsid w:val="003F607F"/>
    <w:rsid w:val="00416D38"/>
    <w:rsid w:val="00431BE1"/>
    <w:rsid w:val="00437DDB"/>
    <w:rsid w:val="0044509D"/>
    <w:rsid w:val="00446812"/>
    <w:rsid w:val="00450A3D"/>
    <w:rsid w:val="0045309B"/>
    <w:rsid w:val="0046240D"/>
    <w:rsid w:val="004739C3"/>
    <w:rsid w:val="004774A1"/>
    <w:rsid w:val="004805A9"/>
    <w:rsid w:val="00482A4A"/>
    <w:rsid w:val="0048350F"/>
    <w:rsid w:val="00487FB6"/>
    <w:rsid w:val="0049039F"/>
    <w:rsid w:val="004921B4"/>
    <w:rsid w:val="004A5010"/>
    <w:rsid w:val="004B0E53"/>
    <w:rsid w:val="004B1CAD"/>
    <w:rsid w:val="004B3D92"/>
    <w:rsid w:val="004B4E5A"/>
    <w:rsid w:val="004B6AE6"/>
    <w:rsid w:val="0050385F"/>
    <w:rsid w:val="00506ED2"/>
    <w:rsid w:val="0051109F"/>
    <w:rsid w:val="00522355"/>
    <w:rsid w:val="00523912"/>
    <w:rsid w:val="00537F52"/>
    <w:rsid w:val="005463F1"/>
    <w:rsid w:val="005536E9"/>
    <w:rsid w:val="0055542F"/>
    <w:rsid w:val="0055629F"/>
    <w:rsid w:val="00556798"/>
    <w:rsid w:val="00561B18"/>
    <w:rsid w:val="0056670A"/>
    <w:rsid w:val="005701B4"/>
    <w:rsid w:val="00580573"/>
    <w:rsid w:val="005901E2"/>
    <w:rsid w:val="0059245D"/>
    <w:rsid w:val="00597CFB"/>
    <w:rsid w:val="005A2AE9"/>
    <w:rsid w:val="005C05AC"/>
    <w:rsid w:val="005C6F58"/>
    <w:rsid w:val="005D31C8"/>
    <w:rsid w:val="005D48B3"/>
    <w:rsid w:val="005D652C"/>
    <w:rsid w:val="005D7653"/>
    <w:rsid w:val="005E4BAE"/>
    <w:rsid w:val="005F1620"/>
    <w:rsid w:val="005F1E1E"/>
    <w:rsid w:val="005F71AA"/>
    <w:rsid w:val="005F71F3"/>
    <w:rsid w:val="0061462F"/>
    <w:rsid w:val="00614854"/>
    <w:rsid w:val="00622CB1"/>
    <w:rsid w:val="00624FF7"/>
    <w:rsid w:val="00626243"/>
    <w:rsid w:val="00646827"/>
    <w:rsid w:val="00653FAA"/>
    <w:rsid w:val="00660DE2"/>
    <w:rsid w:val="00663364"/>
    <w:rsid w:val="00663A5A"/>
    <w:rsid w:val="00666F72"/>
    <w:rsid w:val="00670956"/>
    <w:rsid w:val="00671A48"/>
    <w:rsid w:val="00674E67"/>
    <w:rsid w:val="00674ED1"/>
    <w:rsid w:val="00680977"/>
    <w:rsid w:val="00693580"/>
    <w:rsid w:val="006974E9"/>
    <w:rsid w:val="006A1648"/>
    <w:rsid w:val="006A7111"/>
    <w:rsid w:val="006A7D9B"/>
    <w:rsid w:val="006B670E"/>
    <w:rsid w:val="006C79CC"/>
    <w:rsid w:val="006E55B9"/>
    <w:rsid w:val="00704959"/>
    <w:rsid w:val="00715E7D"/>
    <w:rsid w:val="007247B6"/>
    <w:rsid w:val="00735BC2"/>
    <w:rsid w:val="00736B65"/>
    <w:rsid w:val="00740164"/>
    <w:rsid w:val="007420C5"/>
    <w:rsid w:val="00742147"/>
    <w:rsid w:val="007617C2"/>
    <w:rsid w:val="00770529"/>
    <w:rsid w:val="00772038"/>
    <w:rsid w:val="0077323B"/>
    <w:rsid w:val="0078094A"/>
    <w:rsid w:val="0078120A"/>
    <w:rsid w:val="007A412A"/>
    <w:rsid w:val="007B289E"/>
    <w:rsid w:val="007B3AD0"/>
    <w:rsid w:val="007C491B"/>
    <w:rsid w:val="007D00E3"/>
    <w:rsid w:val="007D27FC"/>
    <w:rsid w:val="008235AA"/>
    <w:rsid w:val="00831737"/>
    <w:rsid w:val="00831B9A"/>
    <w:rsid w:val="00835BF9"/>
    <w:rsid w:val="008434A9"/>
    <w:rsid w:val="00852078"/>
    <w:rsid w:val="0085439F"/>
    <w:rsid w:val="008654CE"/>
    <w:rsid w:val="0087260E"/>
    <w:rsid w:val="00873446"/>
    <w:rsid w:val="0087730D"/>
    <w:rsid w:val="008A3F80"/>
    <w:rsid w:val="008A41EF"/>
    <w:rsid w:val="008B2DFF"/>
    <w:rsid w:val="008B3F0C"/>
    <w:rsid w:val="008B4E82"/>
    <w:rsid w:val="008C27CD"/>
    <w:rsid w:val="008D0491"/>
    <w:rsid w:val="008E1368"/>
    <w:rsid w:val="008F2AA8"/>
    <w:rsid w:val="008F3BB6"/>
    <w:rsid w:val="008F65DA"/>
    <w:rsid w:val="008F73F6"/>
    <w:rsid w:val="00914252"/>
    <w:rsid w:val="0091502B"/>
    <w:rsid w:val="00916ACD"/>
    <w:rsid w:val="009203E5"/>
    <w:rsid w:val="00930BC0"/>
    <w:rsid w:val="009404C1"/>
    <w:rsid w:val="009405E3"/>
    <w:rsid w:val="0094116D"/>
    <w:rsid w:val="0094593D"/>
    <w:rsid w:val="0096428D"/>
    <w:rsid w:val="00966834"/>
    <w:rsid w:val="009674A5"/>
    <w:rsid w:val="00970E2A"/>
    <w:rsid w:val="0098065F"/>
    <w:rsid w:val="00985ACB"/>
    <w:rsid w:val="00997954"/>
    <w:rsid w:val="009A041B"/>
    <w:rsid w:val="009A2EC6"/>
    <w:rsid w:val="009B3957"/>
    <w:rsid w:val="009E00B1"/>
    <w:rsid w:val="00A00FC0"/>
    <w:rsid w:val="00A10AC7"/>
    <w:rsid w:val="00A16C02"/>
    <w:rsid w:val="00A351C5"/>
    <w:rsid w:val="00A359C7"/>
    <w:rsid w:val="00A447B2"/>
    <w:rsid w:val="00A476BB"/>
    <w:rsid w:val="00A56AF2"/>
    <w:rsid w:val="00A57439"/>
    <w:rsid w:val="00A86A36"/>
    <w:rsid w:val="00A873FC"/>
    <w:rsid w:val="00AD5E1C"/>
    <w:rsid w:val="00AD678B"/>
    <w:rsid w:val="00AE00E9"/>
    <w:rsid w:val="00AF2715"/>
    <w:rsid w:val="00AF2DDC"/>
    <w:rsid w:val="00AF353F"/>
    <w:rsid w:val="00B1177A"/>
    <w:rsid w:val="00B14904"/>
    <w:rsid w:val="00B251D8"/>
    <w:rsid w:val="00B271F8"/>
    <w:rsid w:val="00B632F6"/>
    <w:rsid w:val="00B65C9D"/>
    <w:rsid w:val="00B86A1C"/>
    <w:rsid w:val="00B97A4C"/>
    <w:rsid w:val="00BA270A"/>
    <w:rsid w:val="00BA358E"/>
    <w:rsid w:val="00BA7BC1"/>
    <w:rsid w:val="00BA7F24"/>
    <w:rsid w:val="00BB191C"/>
    <w:rsid w:val="00BB1B0A"/>
    <w:rsid w:val="00BB70B2"/>
    <w:rsid w:val="00BB7E95"/>
    <w:rsid w:val="00BC653C"/>
    <w:rsid w:val="00BD36B5"/>
    <w:rsid w:val="00BD5A20"/>
    <w:rsid w:val="00BE2838"/>
    <w:rsid w:val="00BE692E"/>
    <w:rsid w:val="00BF07B0"/>
    <w:rsid w:val="00BF25DD"/>
    <w:rsid w:val="00BF2B7C"/>
    <w:rsid w:val="00C0471D"/>
    <w:rsid w:val="00C14566"/>
    <w:rsid w:val="00C31733"/>
    <w:rsid w:val="00C32647"/>
    <w:rsid w:val="00C43A2D"/>
    <w:rsid w:val="00C46E2A"/>
    <w:rsid w:val="00C528D6"/>
    <w:rsid w:val="00C569F1"/>
    <w:rsid w:val="00C57423"/>
    <w:rsid w:val="00C6141B"/>
    <w:rsid w:val="00C75BDA"/>
    <w:rsid w:val="00C811EB"/>
    <w:rsid w:val="00C82035"/>
    <w:rsid w:val="00C87309"/>
    <w:rsid w:val="00C90CBA"/>
    <w:rsid w:val="00C93600"/>
    <w:rsid w:val="00CA5FA2"/>
    <w:rsid w:val="00CB7A82"/>
    <w:rsid w:val="00CD0ABF"/>
    <w:rsid w:val="00CE1C1E"/>
    <w:rsid w:val="00D015D7"/>
    <w:rsid w:val="00D119D0"/>
    <w:rsid w:val="00D1537A"/>
    <w:rsid w:val="00D23CF8"/>
    <w:rsid w:val="00D37F41"/>
    <w:rsid w:val="00D44F93"/>
    <w:rsid w:val="00D66495"/>
    <w:rsid w:val="00D676C0"/>
    <w:rsid w:val="00D707E8"/>
    <w:rsid w:val="00D70CB3"/>
    <w:rsid w:val="00D81BB1"/>
    <w:rsid w:val="00D85E10"/>
    <w:rsid w:val="00D8749C"/>
    <w:rsid w:val="00D95CCF"/>
    <w:rsid w:val="00D96351"/>
    <w:rsid w:val="00D97081"/>
    <w:rsid w:val="00DA0689"/>
    <w:rsid w:val="00DB655D"/>
    <w:rsid w:val="00DB6641"/>
    <w:rsid w:val="00DC5543"/>
    <w:rsid w:val="00DE53FE"/>
    <w:rsid w:val="00DF1D22"/>
    <w:rsid w:val="00DF2E4F"/>
    <w:rsid w:val="00DF3B60"/>
    <w:rsid w:val="00E06FEB"/>
    <w:rsid w:val="00E109F0"/>
    <w:rsid w:val="00E11E7C"/>
    <w:rsid w:val="00E163B8"/>
    <w:rsid w:val="00E228ED"/>
    <w:rsid w:val="00E27837"/>
    <w:rsid w:val="00E30B0B"/>
    <w:rsid w:val="00E644BB"/>
    <w:rsid w:val="00E67608"/>
    <w:rsid w:val="00E70AB3"/>
    <w:rsid w:val="00E851A1"/>
    <w:rsid w:val="00E8591D"/>
    <w:rsid w:val="00EA0BA4"/>
    <w:rsid w:val="00EA0E1C"/>
    <w:rsid w:val="00EA0EEF"/>
    <w:rsid w:val="00EA1EE5"/>
    <w:rsid w:val="00EA6886"/>
    <w:rsid w:val="00EA7C2D"/>
    <w:rsid w:val="00EC171A"/>
    <w:rsid w:val="00EC4BF0"/>
    <w:rsid w:val="00EC5765"/>
    <w:rsid w:val="00EC7420"/>
    <w:rsid w:val="00ED6527"/>
    <w:rsid w:val="00EE36D2"/>
    <w:rsid w:val="00EE6B8D"/>
    <w:rsid w:val="00EF6566"/>
    <w:rsid w:val="00F001A8"/>
    <w:rsid w:val="00F0346B"/>
    <w:rsid w:val="00F14089"/>
    <w:rsid w:val="00F23C0D"/>
    <w:rsid w:val="00F3629F"/>
    <w:rsid w:val="00F459ED"/>
    <w:rsid w:val="00F52534"/>
    <w:rsid w:val="00F62060"/>
    <w:rsid w:val="00F62AA2"/>
    <w:rsid w:val="00F64F41"/>
    <w:rsid w:val="00F70AA0"/>
    <w:rsid w:val="00F71DEF"/>
    <w:rsid w:val="00F74815"/>
    <w:rsid w:val="00F77CA6"/>
    <w:rsid w:val="00F860E2"/>
    <w:rsid w:val="00F9339E"/>
    <w:rsid w:val="00F93989"/>
    <w:rsid w:val="00FB63C6"/>
    <w:rsid w:val="00FB7850"/>
    <w:rsid w:val="00FE6474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B560C"/>
  <w15:docId w15:val="{B2B3136D-A8F4-49C2-8206-08786FF2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4F41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B6641"/>
    <w:pPr>
      <w:keepNext/>
      <w:tabs>
        <w:tab w:val="center" w:pos="4536"/>
        <w:tab w:val="right" w:pos="9072"/>
      </w:tabs>
      <w:outlineLvl w:val="0"/>
    </w:pPr>
    <w:rPr>
      <w:b/>
      <w:bCs/>
      <w:sz w:val="15"/>
      <w:szCs w:val="15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46E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667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670A"/>
    <w:pPr>
      <w:tabs>
        <w:tab w:val="center" w:pos="4536"/>
        <w:tab w:val="right" w:pos="9072"/>
      </w:tabs>
    </w:pPr>
  </w:style>
  <w:style w:type="paragraph" w:customStyle="1" w:styleId="Betreffhier">
    <w:name w:val="Betreffhier"/>
    <w:basedOn w:val="Standard"/>
    <w:next w:val="Standard"/>
    <w:rsid w:val="00023145"/>
    <w:pPr>
      <w:spacing w:after="480"/>
      <w:ind w:left="624" w:hanging="624"/>
      <w:jc w:val="both"/>
    </w:pPr>
    <w:rPr>
      <w:b/>
    </w:rPr>
  </w:style>
  <w:style w:type="paragraph" w:customStyle="1" w:styleId="TextArial1115zeiligBlocksatz">
    <w:name w:val="Text: Arial 11+1.5 zeilig+Blocksatz"/>
    <w:basedOn w:val="Standard"/>
    <w:rsid w:val="00DA0689"/>
    <w:pPr>
      <w:spacing w:line="360" w:lineRule="auto"/>
      <w:jc w:val="both"/>
    </w:pPr>
  </w:style>
  <w:style w:type="paragraph" w:styleId="StandardWeb">
    <w:name w:val="Normal (Web)"/>
    <w:basedOn w:val="Standard"/>
    <w:rsid w:val="00396A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terschriftArial111zeilig">
    <w:name w:val="Unterschrift: Arial 11+1zeilig"/>
    <w:basedOn w:val="Standard"/>
    <w:rsid w:val="0094593D"/>
  </w:style>
  <w:style w:type="paragraph" w:styleId="Textkrper-Einzug3">
    <w:name w:val="Body Text Indent 3"/>
    <w:basedOn w:val="Standard"/>
    <w:rsid w:val="0094593D"/>
    <w:pPr>
      <w:autoSpaceDE w:val="0"/>
      <w:autoSpaceDN w:val="0"/>
      <w:adjustRightInd w:val="0"/>
      <w:ind w:left="600" w:hanging="600"/>
      <w:jc w:val="both"/>
    </w:pPr>
    <w:rPr>
      <w:szCs w:val="20"/>
    </w:rPr>
  </w:style>
  <w:style w:type="paragraph" w:customStyle="1" w:styleId="FussStmJ">
    <w:name w:val="FussStmJ"/>
    <w:basedOn w:val="Fuzeile"/>
    <w:rsid w:val="00835BF9"/>
    <w:rPr>
      <w:sz w:val="15"/>
      <w:szCs w:val="20"/>
    </w:rPr>
  </w:style>
  <w:style w:type="character" w:styleId="Hyperlink">
    <w:name w:val="Hyperlink"/>
    <w:rsid w:val="00985ACB"/>
    <w:rPr>
      <w:color w:val="0000FF"/>
      <w:u w:val="single"/>
    </w:rPr>
  </w:style>
  <w:style w:type="paragraph" w:styleId="Sprechblasentext">
    <w:name w:val="Balloon Text"/>
    <w:basedOn w:val="Standard"/>
    <w:semiHidden/>
    <w:rsid w:val="00C811EB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C46E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source=web&amp;rct=j&amp;url=https://www.bayern.verfassungsgerichtshof.de/bayverfgh/&amp;ved=2ahUKEwjt_baZ8f6UAxXnQPEDHQs5MOAQy_kOegoIAggACAAIBxAB&amp;opi=89978449&amp;cd&amp;psig=AOvVaw34a-SNhSEBHc-Xt-0zULkH&amp;ust=1781256904056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FE0A-424A-4F65-8EF4-98A27591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Version 2</vt:lpstr>
    </vt:vector>
  </TitlesOfParts>
  <Company>StMJV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Version 2</dc:title>
  <dc:creator>Söldner, Michaela</dc:creator>
  <cp:lastModifiedBy>Kesting, Anja</cp:lastModifiedBy>
  <cp:revision>3</cp:revision>
  <cp:lastPrinted>2026-06-11T13:36:00Z</cp:lastPrinted>
  <dcterms:created xsi:type="dcterms:W3CDTF">2026-06-11T13:36:00Z</dcterms:created>
  <dcterms:modified xsi:type="dcterms:W3CDTF">2026-06-11T13:50:00Z</dcterms:modified>
</cp:coreProperties>
</file>